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A4" w:rsidRPr="00754600" w:rsidRDefault="00EF3108" w:rsidP="00197F5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proofErr w:type="spellStart"/>
      <w:r w:rsidRPr="000C237C">
        <w:rPr>
          <w:rFonts w:ascii="Times New Roman" w:hAnsi="Times New Roman" w:cs="Times New Roman"/>
          <w:b/>
          <w:sz w:val="32"/>
          <w:szCs w:val="32"/>
          <w:lang w:val="en-US"/>
        </w:rPr>
        <w:t>Fișa</w:t>
      </w:r>
      <w:proofErr w:type="spellEnd"/>
      <w:r w:rsidRPr="000C23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C237C">
        <w:rPr>
          <w:rFonts w:ascii="Times New Roman" w:hAnsi="Times New Roman" w:cs="Times New Roman"/>
          <w:b/>
          <w:sz w:val="32"/>
          <w:szCs w:val="32"/>
          <w:lang w:val="en-US"/>
        </w:rPr>
        <w:t>disciplinei</w:t>
      </w:r>
      <w:proofErr w:type="spellEnd"/>
      <w:r w:rsidRPr="000C23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C237C">
        <w:rPr>
          <w:rFonts w:ascii="Times New Roman" w:hAnsi="Times New Roman" w:cs="Times New Roman"/>
          <w:b/>
          <w:sz w:val="32"/>
          <w:szCs w:val="32"/>
          <w:lang w:val="en-US"/>
        </w:rPr>
        <w:t>Pediatria</w:t>
      </w:r>
      <w:proofErr w:type="spellEnd"/>
      <w:r w:rsidR="00002322" w:rsidRPr="000C23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19708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Stomatologie</w:t>
      </w:r>
      <w:proofErr w:type="spellEnd"/>
      <w:r w:rsidR="00002322" w:rsidRPr="00754600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388"/>
        <w:gridCol w:w="851"/>
        <w:gridCol w:w="2835"/>
        <w:gridCol w:w="1582"/>
      </w:tblGrid>
      <w:tr w:rsidR="000B7EA4" w:rsidRPr="008B6B47" w:rsidTr="000B7EA4">
        <w:tc>
          <w:tcPr>
            <w:tcW w:w="2689" w:type="dxa"/>
            <w:shd w:val="clear" w:color="auto" w:fill="DEEAF6" w:themeFill="accent1" w:themeFillTint="33"/>
          </w:tcPr>
          <w:p w:rsidR="000B7EA4" w:rsidRPr="008B6B47" w:rsidRDefault="000B7EA4" w:rsidP="00002322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Denumirea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disciplinei</w:t>
            </w:r>
            <w:proofErr w:type="spellEnd"/>
          </w:p>
        </w:tc>
        <w:tc>
          <w:tcPr>
            <w:tcW w:w="6656" w:type="dxa"/>
            <w:gridSpan w:val="4"/>
          </w:tcPr>
          <w:p w:rsidR="000B7EA4" w:rsidRPr="00AA2821" w:rsidRDefault="00EF3108" w:rsidP="00AA28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b/>
                <w:sz w:val="28"/>
                <w:szCs w:val="28"/>
              </w:rPr>
              <w:t>Pediatri</w:t>
            </w:r>
            <w:proofErr w:type="spellEnd"/>
            <w:r w:rsidR="0019708F" w:rsidRPr="00AA2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AA2821" w:rsidRPr="00A92748" w:rsidTr="00951570">
        <w:tc>
          <w:tcPr>
            <w:tcW w:w="2689" w:type="dxa"/>
          </w:tcPr>
          <w:p w:rsidR="00AA2821" w:rsidRPr="00A92748" w:rsidRDefault="00AA2821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</w:t>
            </w:r>
          </w:p>
        </w:tc>
        <w:tc>
          <w:tcPr>
            <w:tcW w:w="2835" w:type="dxa"/>
            <w:vAlign w:val="center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</w:tc>
        <w:tc>
          <w:tcPr>
            <w:tcW w:w="1582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A2821" w:rsidRPr="00A92748" w:rsidTr="00951570">
        <w:tc>
          <w:tcPr>
            <w:tcW w:w="2689" w:type="dxa"/>
          </w:tcPr>
          <w:p w:rsidR="00AA2821" w:rsidRPr="00A92748" w:rsidRDefault="00AA2821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studii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</w:p>
        </w:tc>
        <w:tc>
          <w:tcPr>
            <w:tcW w:w="1582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AA2821" w:rsidRPr="00A92748" w:rsidTr="00951570">
        <w:tc>
          <w:tcPr>
            <w:tcW w:w="2689" w:type="dxa"/>
            <w:vMerge w:val="restart"/>
          </w:tcPr>
          <w:p w:rsidR="00AA2821" w:rsidRPr="00A92748" w:rsidRDefault="00AA2821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ore</w:t>
            </w:r>
          </w:p>
        </w:tc>
        <w:tc>
          <w:tcPr>
            <w:tcW w:w="1388" w:type="dxa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2835" w:type="dxa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</w:t>
            </w:r>
          </w:p>
        </w:tc>
        <w:tc>
          <w:tcPr>
            <w:tcW w:w="1582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</w:tr>
      <w:tr w:rsidR="00AA2821" w:rsidRPr="00A92748" w:rsidTr="00951570">
        <w:tc>
          <w:tcPr>
            <w:tcW w:w="2689" w:type="dxa"/>
            <w:vMerge/>
          </w:tcPr>
          <w:p w:rsidR="00AA2821" w:rsidRPr="003858CE" w:rsidRDefault="00AA2821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835" w:type="dxa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582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</w:tr>
      <w:tr w:rsidR="000B7EA4" w:rsidRPr="008B6B47" w:rsidTr="000B7EA4">
        <w:tc>
          <w:tcPr>
            <w:tcW w:w="2689" w:type="dxa"/>
          </w:tcPr>
          <w:p w:rsidR="000B7EA4" w:rsidRPr="008B6B47" w:rsidRDefault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Componenta</w:t>
            </w:r>
            <w:proofErr w:type="spellEnd"/>
          </w:p>
        </w:tc>
        <w:tc>
          <w:tcPr>
            <w:tcW w:w="6656" w:type="dxa"/>
            <w:gridSpan w:val="4"/>
          </w:tcPr>
          <w:p w:rsidR="000B7EA4" w:rsidRPr="00AA2821" w:rsidRDefault="000B7EA4" w:rsidP="00A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21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proofErr w:type="spellEnd"/>
            <w:r w:rsidRPr="00AA28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iCs/>
                <w:sz w:val="24"/>
                <w:szCs w:val="24"/>
              </w:rPr>
              <w:t>specialitate</w:t>
            </w:r>
            <w:proofErr w:type="spellEnd"/>
          </w:p>
        </w:tc>
      </w:tr>
      <w:tr w:rsidR="000B7EA4" w:rsidRPr="008B6B47" w:rsidTr="000B7EA4">
        <w:tc>
          <w:tcPr>
            <w:tcW w:w="2689" w:type="dxa"/>
          </w:tcPr>
          <w:p w:rsidR="000B7EA4" w:rsidRPr="008B6B47" w:rsidRDefault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Titularul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curs</w:t>
            </w:r>
            <w:proofErr w:type="spellEnd"/>
          </w:p>
        </w:tc>
        <w:tc>
          <w:tcPr>
            <w:tcW w:w="6656" w:type="dxa"/>
            <w:gridSpan w:val="4"/>
          </w:tcPr>
          <w:p w:rsidR="000B7EA4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Ninel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Revenco</w:t>
            </w:r>
            <w:proofErr w:type="spellEnd"/>
          </w:p>
        </w:tc>
      </w:tr>
      <w:tr w:rsidR="000B7EA4" w:rsidRPr="008B6B47" w:rsidTr="000B7EA4">
        <w:tc>
          <w:tcPr>
            <w:tcW w:w="2689" w:type="dxa"/>
          </w:tcPr>
          <w:p w:rsidR="000B7EA4" w:rsidRPr="008B6B47" w:rsidRDefault="000B7EA4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Locația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EF3108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</w:t>
            </w:r>
            <w:proofErr w:type="spellEnd"/>
          </w:p>
          <w:p w:rsidR="00EF3108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3108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Burebista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97F5D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93</w:t>
            </w:r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3108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Chişinău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MD-2062,</w:t>
            </w:r>
          </w:p>
          <w:p w:rsidR="00EF3108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  <w:p w:rsidR="000B7EA4" w:rsidRPr="00AA2821" w:rsidRDefault="00EF3108" w:rsidP="00A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(+373) 32 205 835</w:t>
            </w:r>
          </w:p>
        </w:tc>
      </w:tr>
      <w:tr w:rsidR="00D31D0E" w:rsidRPr="0001003E" w:rsidTr="0019708F">
        <w:trPr>
          <w:trHeight w:val="1225"/>
        </w:trPr>
        <w:tc>
          <w:tcPr>
            <w:tcW w:w="2689" w:type="dxa"/>
            <w:vMerge w:val="restart"/>
          </w:tcPr>
          <w:p w:rsidR="00D31D0E" w:rsidRPr="000C237C" w:rsidRDefault="00D31D0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Condiționări</w:t>
            </w:r>
            <w:proofErr w:type="spellEnd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exigențe</w:t>
            </w:r>
            <w:proofErr w:type="spellEnd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prealabile</w:t>
            </w:r>
            <w:proofErr w:type="spellEnd"/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de:</w:t>
            </w:r>
          </w:p>
          <w:p w:rsidR="00D31D0E" w:rsidRPr="000C237C" w:rsidRDefault="00D31D0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6" w:type="dxa"/>
            <w:gridSpan w:val="4"/>
          </w:tcPr>
          <w:p w:rsidR="00D31D0E" w:rsidRPr="00AA2821" w:rsidRDefault="00D31D0E" w:rsidP="00AA2821">
            <w:pPr>
              <w:pStyle w:val="a8"/>
              <w:ind w:firstLine="0"/>
              <w:jc w:val="both"/>
              <w:rPr>
                <w:szCs w:val="24"/>
              </w:rPr>
            </w:pPr>
            <w:r w:rsidRPr="00AA2821">
              <w:rPr>
                <w:iCs/>
                <w:szCs w:val="24"/>
              </w:rPr>
              <w:t xml:space="preserve">Program:  cunoștințe de bază în disciplinele conexe precum: </w:t>
            </w:r>
            <w:r w:rsidRPr="00AA2821">
              <w:rPr>
                <w:szCs w:val="24"/>
              </w:rPr>
              <w:t xml:space="preserve">anatomia, fiziologia umană, farmacologia, semiologia medicală, imagistica medicală, </w:t>
            </w:r>
            <w:r w:rsidR="00130B45" w:rsidRPr="00AA2821">
              <w:rPr>
                <w:szCs w:val="24"/>
              </w:rPr>
              <w:t>medicina internă</w:t>
            </w:r>
            <w:r w:rsidR="0019708F" w:rsidRPr="00AA2821">
              <w:rPr>
                <w:szCs w:val="24"/>
              </w:rPr>
              <w:t>.</w:t>
            </w:r>
          </w:p>
        </w:tc>
      </w:tr>
      <w:tr w:rsidR="000B7EA4" w:rsidRPr="0001003E" w:rsidTr="000B7EA4">
        <w:tc>
          <w:tcPr>
            <w:tcW w:w="2689" w:type="dxa"/>
            <w:vMerge/>
          </w:tcPr>
          <w:p w:rsidR="000B7EA4" w:rsidRPr="000C237C" w:rsidRDefault="000B7EA4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6" w:type="dxa"/>
            <w:gridSpan w:val="4"/>
          </w:tcPr>
          <w:p w:rsidR="00130B45" w:rsidRPr="00AA2821" w:rsidRDefault="000B7EA4" w:rsidP="00AA2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Competențe</w:t>
            </w:r>
            <w:proofErr w:type="spellEnd"/>
            <w:r w:rsidR="00D31D0E" w:rsidRPr="00AA2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AA2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colectarea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anamnezei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examenul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 general al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interpretarea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investigațiilor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="008B6B47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 </w:t>
            </w:r>
            <w:proofErr w:type="spellStart"/>
            <w:r w:rsidR="008B6B47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instrumentale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imagistice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formularea</w:t>
            </w:r>
            <w:proofErr w:type="spellEnd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diagnostic </w:t>
            </w:r>
            <w:proofErr w:type="spellStart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pozitiv</w:t>
            </w:r>
            <w:proofErr w:type="spellEnd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enunțarea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terapeutice</w:t>
            </w:r>
            <w:proofErr w:type="spellEnd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B7EA4" w:rsidRPr="00AA2821" w:rsidRDefault="00710F2F" w:rsidP="00AA2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unoașterea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limbii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abilitat</w:t>
            </w:r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ăți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calități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toleranță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inițiativă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compasiune</w:t>
            </w:r>
            <w:proofErr w:type="spellEnd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1D0E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autonomie</w:t>
            </w:r>
            <w:proofErr w:type="spellEnd"/>
            <w:r w:rsidR="00130B4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7EA4" w:rsidRPr="0001003E" w:rsidTr="000B7EA4">
        <w:tc>
          <w:tcPr>
            <w:tcW w:w="2689" w:type="dxa"/>
            <w:shd w:val="clear" w:color="auto" w:fill="DEEAF6" w:themeFill="accent1" w:themeFillTint="33"/>
          </w:tcPr>
          <w:p w:rsidR="000B7EA4" w:rsidRPr="008B6B47" w:rsidRDefault="000B7EA4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Misiunea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disciplinei</w:t>
            </w:r>
            <w:proofErr w:type="spellEnd"/>
          </w:p>
        </w:tc>
        <w:tc>
          <w:tcPr>
            <w:tcW w:w="6656" w:type="dxa"/>
            <w:gridSpan w:val="4"/>
          </w:tcPr>
          <w:p w:rsidR="00197F5D" w:rsidRPr="00AA2821" w:rsidRDefault="00197F5D" w:rsidP="00AA28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Misiunea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viitorului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specialist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valorilor</w:t>
            </w:r>
            <w:proofErr w:type="spellEnd"/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general-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deontologiei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710F2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bioeticii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97F5D" w:rsidRPr="00AA2821" w:rsidRDefault="00197F5D" w:rsidP="00AA2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Scopul</w:t>
            </w:r>
            <w:proofErr w:type="spellEnd"/>
            <w:r w:rsidRPr="00AA2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disciplinei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7EA4" w:rsidRPr="00AA2821" w:rsidRDefault="0019708F" w:rsidP="00AA282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însuşirea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studenţi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noţiunilor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referitor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particularităţile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anatomo-funcţionale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organismului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colectare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anamneze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mecanismelor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factorilor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influenţează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creşterea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obiectiv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neuro-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raţiei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vacciniprofilaxia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etiologia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profilaxia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diverselor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afecţiunile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om;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recunoaşterea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semnelor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pericol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urgenţă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stări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02322" w:rsidRPr="0019708F" w:rsidTr="000B7EA4">
        <w:tc>
          <w:tcPr>
            <w:tcW w:w="2689" w:type="dxa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Tematica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prezentată</w:t>
            </w:r>
            <w:proofErr w:type="spellEnd"/>
          </w:p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:rsidR="0019708F" w:rsidRPr="00AA2821" w:rsidRDefault="00002322" w:rsidP="00AA2821">
            <w:pPr>
              <w:pStyle w:val="a5"/>
              <w:numPr>
                <w:ilvl w:val="0"/>
                <w:numId w:val="13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Definiţiile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puericulturii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sănătos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Perioadele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copilăriei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caracteristica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Imunoprofilaxia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Spravegherea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02322" w:rsidRPr="00AA2821" w:rsidRDefault="00002322" w:rsidP="00AA2821">
            <w:pPr>
              <w:pStyle w:val="a5"/>
              <w:numPr>
                <w:ilvl w:val="0"/>
                <w:numId w:val="13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Creșterea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șterea ososasă.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2322" w:rsidRPr="00AA2821" w:rsidRDefault="0019708F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limentația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alimentaţia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sân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alimentaţia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diversificată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alimentaţia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formule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lapte-praf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Principiile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preşcolari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şcolari</w:t>
            </w:r>
            <w:proofErr w:type="spellEnd"/>
            <w:r w:rsidR="00002322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hipovitaminozelor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afecţiunile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2322" w:rsidRPr="00AA2821" w:rsidRDefault="00002322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Rahitismul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carenţial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002322" w:rsidRPr="00AA2821" w:rsidRDefault="00002322" w:rsidP="00AA282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Infecţiile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acute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Bronşitele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Bronşiolita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E169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Pneumonia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comunitar</w:t>
            </w:r>
            <w:r w:rsidR="004E1695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focarelor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cronice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infecţie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apariţia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evoluţia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maladiilor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respiratorii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maturizarea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aparatului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maxilofacial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2322" w:rsidRPr="00AA2821" w:rsidRDefault="00002322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sindromul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hipertermic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02322" w:rsidRPr="00AA2821" w:rsidRDefault="00002322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Sindromul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anemic</w:t>
            </w:r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hemoragic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carenţiale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002322" w:rsidRPr="00AA2821" w:rsidRDefault="00002322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Purpura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trombocitopenică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Hemofilia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</w:t>
            </w:r>
            <w:r w:rsidR="0019708F"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Willebrand</w:t>
            </w:r>
            <w:proofErr w:type="spellEnd"/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2322" w:rsidRPr="00AA2821" w:rsidRDefault="00002322" w:rsidP="00AA2821">
            <w:pPr>
              <w:pStyle w:val="ab"/>
              <w:numPr>
                <w:ilvl w:val="0"/>
                <w:numId w:val="13"/>
              </w:numPr>
              <w:spacing w:after="0"/>
              <w:ind w:left="146" w:hanging="148"/>
              <w:rPr>
                <w:szCs w:val="24"/>
              </w:rPr>
            </w:pPr>
            <w:r w:rsidRPr="00AA2821">
              <w:rPr>
                <w:szCs w:val="24"/>
              </w:rPr>
              <w:t xml:space="preserve">Infecţia tractului urinar la copii. </w:t>
            </w:r>
            <w:r w:rsidRPr="00AA2821">
              <w:rPr>
                <w:szCs w:val="24"/>
                <w:lang w:eastAsia="en-US"/>
              </w:rPr>
              <w:t xml:space="preserve">Glomerulonefritele acute şi cronice la copii.  </w:t>
            </w:r>
            <w:proofErr w:type="spellStart"/>
            <w:r w:rsidR="0019708F" w:rsidRPr="00AA2821">
              <w:rPr>
                <w:szCs w:val="24"/>
                <w:lang w:val="en-US"/>
              </w:rPr>
              <w:t>Rolul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afecţiunilor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cronice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ale </w:t>
            </w:r>
            <w:proofErr w:type="spellStart"/>
            <w:r w:rsidR="0019708F" w:rsidRPr="00AA2821">
              <w:rPr>
                <w:szCs w:val="24"/>
                <w:lang w:val="en-US"/>
              </w:rPr>
              <w:t>aparatului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renourinar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în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patologia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sistemului</w:t>
            </w:r>
            <w:proofErr w:type="spellEnd"/>
            <w:r w:rsidR="0019708F" w:rsidRPr="00AA2821">
              <w:rPr>
                <w:szCs w:val="24"/>
                <w:lang w:val="en-US"/>
              </w:rPr>
              <w:t xml:space="preserve"> </w:t>
            </w:r>
            <w:proofErr w:type="spellStart"/>
            <w:r w:rsidR="0019708F" w:rsidRPr="00AA2821">
              <w:rPr>
                <w:szCs w:val="24"/>
                <w:lang w:val="en-US"/>
              </w:rPr>
              <w:t>osos</w:t>
            </w:r>
            <w:proofErr w:type="spellEnd"/>
            <w:r w:rsidR="0019708F" w:rsidRPr="00AA2821">
              <w:rPr>
                <w:szCs w:val="24"/>
                <w:lang w:val="en-US"/>
              </w:rPr>
              <w:t>.</w:t>
            </w:r>
          </w:p>
          <w:p w:rsidR="0019708F" w:rsidRPr="00AA2821" w:rsidRDefault="00002322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Malabsorbţia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intestinală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Celiacă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Fibroza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chistică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Intoleranţa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lactoză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Intoleranța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proteinele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laptelui</w:t>
            </w:r>
            <w:proofErr w:type="spellEnd"/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>vaci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08F" w:rsidRPr="00AA2821" w:rsidRDefault="0019708F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Afecţiuni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acute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digestive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gasrtita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gastroduodenita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ulceroasă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pancreatita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colecistita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etiologie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diagnostic,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profilaxie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afecţiunilor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digestive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afecţiunile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9708F" w:rsidRPr="00AA2821" w:rsidRDefault="0019708F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Sindroamele principale de afectare</w:t>
            </w:r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ale </w:t>
            </w:r>
            <w:proofErr w:type="spellStart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aparatului</w:t>
            </w:r>
            <w:proofErr w:type="spellEnd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cardio</w:t>
            </w:r>
            <w:proofErr w:type="spellEnd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-vascular la </w:t>
            </w:r>
            <w:proofErr w:type="spellStart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copii</w:t>
            </w:r>
            <w:proofErr w:type="spellEnd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Endocardita</w:t>
            </w:r>
            <w:proofErr w:type="spellEnd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bacteriană</w:t>
            </w:r>
            <w:proofErr w:type="spellEnd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copii</w:t>
            </w:r>
            <w:proofErr w:type="spellEnd"/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.  </w:t>
            </w:r>
          </w:p>
          <w:p w:rsidR="00002322" w:rsidRPr="00AA2821" w:rsidRDefault="0019708F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Urgențe majore în pediatrie: </w:t>
            </w:r>
            <w:r w:rsidRPr="00AA282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febra, convulsiile, şocul anafilactic, sindromul hemoragic,  intoxicaţii acute la copii. SVBP.</w:t>
            </w:r>
            <w:r w:rsidR="00002322" w:rsidRPr="00AA282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Instruire virtual</w:t>
            </w:r>
            <w:r w:rsidR="004E1695" w:rsidRPr="00AA282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ă</w:t>
            </w:r>
            <w:r w:rsidR="00002322" w:rsidRPr="00AA282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/simulare de bază în </w:t>
            </w:r>
            <w:r w:rsidR="00002322" w:rsidRPr="00AA282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Pediatrie. </w:t>
            </w:r>
          </w:p>
        </w:tc>
      </w:tr>
      <w:tr w:rsidR="00002322" w:rsidRPr="0001003E" w:rsidTr="000B7EA4">
        <w:tc>
          <w:tcPr>
            <w:tcW w:w="2689" w:type="dxa"/>
            <w:shd w:val="clear" w:color="auto" w:fill="DEEAF6" w:themeFill="accent1" w:themeFillTint="33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Finalități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studiu</w:t>
            </w:r>
            <w:proofErr w:type="spellEnd"/>
          </w:p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:rsidR="00002322" w:rsidRPr="00AA2821" w:rsidRDefault="00002322" w:rsidP="00AA2821">
            <w:pPr>
              <w:pStyle w:val="1"/>
              <w:outlineLvl w:val="0"/>
              <w:rPr>
                <w:sz w:val="24"/>
              </w:rPr>
            </w:pPr>
            <w:r w:rsidRPr="00AA2821">
              <w:rPr>
                <w:sz w:val="24"/>
              </w:rPr>
              <w:t>La finele studierii disciplinei studentul va fi capabil: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particularităţile anatomo-fiziologice, funcţionale, morfologice </w:t>
            </w:r>
            <w:proofErr w:type="gramStart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la  copil</w:t>
            </w:r>
            <w:proofErr w:type="gramEnd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raport cu vârsta;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rincipiile de alimentaţie </w:t>
            </w:r>
            <w:proofErr w:type="gramStart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ale  copilului</w:t>
            </w:r>
            <w:proofErr w:type="gramEnd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sănătos şi copilului bolnav de diferite vârste;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evoluţia proceselor fiziologice de creştere şi dezvoltare a copilului, </w:t>
            </w:r>
            <w:proofErr w:type="gramStart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îngrijirea,  profilaxia</w:t>
            </w:r>
            <w:proofErr w:type="gramEnd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, pediatria socială, comportamentală;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particularităţile</w:t>
            </w:r>
            <w:r w:rsidRPr="00AA282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anamnezei,</w:t>
            </w:r>
            <w:r w:rsidRPr="00AA282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examenului clinic 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obiectiv, examenelor paraclinice la copil de diferite vârste;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rincipiile de bază ale patologiei pediatrice: etiologia, patogenia, manifestările clinice tipice ale bolilor la copii, metodele contemporane de diagnostic, tratament şi profilaxie ale acestor boli;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ndicaţiile  şi</w:t>
            </w:r>
            <w:proofErr w:type="gramEnd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contraindicaţiile  pentru utilizarea metodelor de laborator,  instrumentale,  imagistice, alte metode de diagnostic în pediatrie;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Să cunoască indicaţiile, contraindicaţiile, argumentarea unui tratament etiologic, patogenetic, simptomatic ale bolilor la copii;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etodele de prevenire a bolilor la copii, </w:t>
            </w:r>
            <w:proofErr w:type="gramStart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calendarul  de</w:t>
            </w:r>
            <w:proofErr w:type="gramEnd"/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imunizare a copiilor în  RM.</w:t>
            </w:r>
          </w:p>
          <w:p w:rsidR="0019708F" w:rsidRPr="00AA2821" w:rsidRDefault="0019708F" w:rsidP="00AA2821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Să posede completarea actelor medicale curente: fişa de observaţie, evidența zilnică.</w:t>
            </w:r>
          </w:p>
          <w:p w:rsidR="0019708F" w:rsidRPr="00AA2821" w:rsidRDefault="0019708F" w:rsidP="00AA2821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284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Să aprecieze 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statusul nutriţional a copilului, prescrierea raţiei alimentare corecte la copil pe grupe de  vârste.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abilităţi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comunicre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familia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recomandări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explicații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romoveze principiile de etică şi deontologie în asistenţa medicală a copilului.</w:t>
            </w:r>
          </w:p>
          <w:p w:rsidR="0019708F" w:rsidRPr="00AA2821" w:rsidRDefault="0019708F" w:rsidP="00AA2821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284" w:right="-1" w:hanging="2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Să posede </w:t>
            </w:r>
            <w:r w:rsidRPr="00AA282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și să aplice </w:t>
            </w:r>
            <w:r w:rsidRPr="00AA28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acordarea asistenţei medicale de urgenţă copilului în stare critică. </w:t>
            </w:r>
          </w:p>
          <w:p w:rsidR="00002322" w:rsidRPr="00AA2821" w:rsidRDefault="0019708F" w:rsidP="00AA2821">
            <w:pPr>
              <w:pStyle w:val="2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146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fie apt de a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evalua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autoevalua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obiectiv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cunoştinţele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domeniu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 a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asimila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noile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realizări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disciplinele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02322" w:rsidRPr="0001003E" w:rsidTr="000B7EA4">
        <w:tc>
          <w:tcPr>
            <w:tcW w:w="2689" w:type="dxa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Manopere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achiziționate</w:t>
            </w:r>
            <w:proofErr w:type="spellEnd"/>
          </w:p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:rsidR="0019708F" w:rsidRPr="00AA2821" w:rsidRDefault="0019708F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142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 actelor medicale curente: fişa de observaţie, evidența zilnică.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Colectare a unei anamneze (interviu) </w:t>
            </w:r>
            <w:proofErr w:type="spellStart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A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pediatric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Măsurări antropometrice cu aprecierea dezvoltării fizice copilului de diferite vârste.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Efectuarea  examenului clinic </w:t>
            </w:r>
            <w:r w:rsidRPr="00AA2821">
              <w:rPr>
                <w:rFonts w:ascii="Times New Roman" w:hAnsi="Times New Roman"/>
                <w:sz w:val="24"/>
                <w:szCs w:val="24"/>
                <w:lang w:val="ro-RO"/>
              </w:rPr>
              <w:t>obiectiv general şi pe aparate  la copil de diferite vârste.</w:t>
            </w:r>
          </w:p>
          <w:p w:rsidR="0019708F" w:rsidRPr="00AA2821" w:rsidRDefault="0019708F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142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Aprecierea statusului nutriţional a copilului, prescrierea raţiei alimentare corecte la copil pe grupe de  vârste.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Recunoaşterea semnelor vitale, a simptomelor şi semnelor de boală, sindroamelor majore din patologia copilului, </w:t>
            </w:r>
            <w:r w:rsidRPr="00AA2821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formularea unui diagnostic clinic definitiv conform clasificaţiilor existente.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 indica şi interpreta  rezultatele analizelor de laborator (clinice, biochimice, imunologice, bacteriologice), rezultatele investigaţiilor instrumentale, imagistice etc.</w:t>
            </w:r>
          </w:p>
          <w:p w:rsidR="0019708F" w:rsidRPr="00AA2821" w:rsidRDefault="0019708F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 indica tratament general şi medicamentos copilului conform diagnosticului stabilit, măsuri de prevenire şi reabilitare.</w:t>
            </w:r>
          </w:p>
          <w:p w:rsidR="0019708F" w:rsidRPr="00AA2821" w:rsidRDefault="0019708F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2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Educaţia pentru sănătate a mamelor. </w:t>
            </w:r>
          </w:p>
          <w:p w:rsidR="0019708F" w:rsidRPr="00AA2821" w:rsidRDefault="0019708F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2" w:right="-1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Acordarea asistenţei medicale de urgenţă copilului în stare critică. Studentul trebuie s</w:t>
            </w:r>
            <w:r w:rsidRPr="00AA282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ă cunoască și să aplice următoarele cunoștințe și abilități practice: 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masajului</w:t>
            </w:r>
            <w:proofErr w:type="spellEnd"/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cardiac</w:t>
            </w:r>
            <w:r w:rsidRPr="00AA282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extern la copil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şoc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recunoască stopul cardio-respirator la copil;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etapele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evaluării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  (</w:t>
            </w:r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airway, breathing,  circulation)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Să posede tehnici de „permeabilizare”  a  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căilor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aeriene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Să posede efectuarea suportului vital de bază pediatric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Să posede tehnica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Poziţionare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critic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pacientul</w:t>
            </w:r>
            <w:proofErr w:type="spellEnd"/>
            <w:proofErr w:type="gram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convulsii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medicaţia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anticonvulsivantă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9708F" w:rsidRPr="00AA2821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Să acorde asistenţă medicală de urgenţă copilului cu sângerare patologică;</w:t>
            </w:r>
          </w:p>
          <w:p w:rsidR="00002322" w:rsidRPr="0001003E" w:rsidRDefault="0019708F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administreze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medicația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șoc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anafilactic</w:t>
            </w:r>
            <w:proofErr w:type="spellEnd"/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002322" w:rsidRPr="008B6B47" w:rsidTr="000B7EA4">
        <w:tc>
          <w:tcPr>
            <w:tcW w:w="2689" w:type="dxa"/>
            <w:shd w:val="clear" w:color="auto" w:fill="DEEAF6" w:themeFill="accent1" w:themeFillTint="33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Forma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6656" w:type="dxa"/>
            <w:gridSpan w:val="4"/>
          </w:tcPr>
          <w:p w:rsidR="00002322" w:rsidRPr="00AA2821" w:rsidRDefault="0019708F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 diferențiat</w:t>
            </w:r>
          </w:p>
        </w:tc>
      </w:tr>
    </w:tbl>
    <w:p w:rsidR="00FF70A1" w:rsidRPr="008B6B47" w:rsidRDefault="00FF70A1" w:rsidP="00002322">
      <w:pPr>
        <w:rPr>
          <w:rFonts w:ascii="Times New Roman" w:hAnsi="Times New Roman" w:cs="Times New Roman"/>
          <w:sz w:val="24"/>
          <w:szCs w:val="24"/>
        </w:rPr>
      </w:pPr>
    </w:p>
    <w:sectPr w:rsidR="00FF70A1" w:rsidRPr="008B6B47" w:rsidSect="000023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0F6E"/>
    <w:multiLevelType w:val="hybridMultilevel"/>
    <w:tmpl w:val="51324478"/>
    <w:lvl w:ilvl="0" w:tplc="0419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0BCA"/>
    <w:multiLevelType w:val="hybridMultilevel"/>
    <w:tmpl w:val="0DD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106"/>
    <w:multiLevelType w:val="hybridMultilevel"/>
    <w:tmpl w:val="DC86BFEA"/>
    <w:lvl w:ilvl="0" w:tplc="85323C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DD6"/>
    <w:multiLevelType w:val="hybridMultilevel"/>
    <w:tmpl w:val="A69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D64"/>
    <w:multiLevelType w:val="hybridMultilevel"/>
    <w:tmpl w:val="5ADAF8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A41358"/>
    <w:multiLevelType w:val="hybridMultilevel"/>
    <w:tmpl w:val="863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C72"/>
    <w:multiLevelType w:val="hybridMultilevel"/>
    <w:tmpl w:val="D73E12DE"/>
    <w:lvl w:ilvl="0" w:tplc="27BA50C4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608400D2"/>
    <w:multiLevelType w:val="hybridMultilevel"/>
    <w:tmpl w:val="1EDC3BF6"/>
    <w:lvl w:ilvl="0" w:tplc="C662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8B413F8"/>
    <w:multiLevelType w:val="hybridMultilevel"/>
    <w:tmpl w:val="6912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7C4A4F"/>
    <w:multiLevelType w:val="hybridMultilevel"/>
    <w:tmpl w:val="0F2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444E5"/>
    <w:multiLevelType w:val="hybridMultilevel"/>
    <w:tmpl w:val="95A8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B0"/>
    <w:rsid w:val="00002322"/>
    <w:rsid w:val="0001003E"/>
    <w:rsid w:val="00045990"/>
    <w:rsid w:val="00086B9E"/>
    <w:rsid w:val="0009359B"/>
    <w:rsid w:val="000B7EA4"/>
    <w:rsid w:val="000C237C"/>
    <w:rsid w:val="000F0856"/>
    <w:rsid w:val="000F1589"/>
    <w:rsid w:val="00103363"/>
    <w:rsid w:val="00130B45"/>
    <w:rsid w:val="0019708F"/>
    <w:rsid w:val="00197F5D"/>
    <w:rsid w:val="001A375F"/>
    <w:rsid w:val="001B7667"/>
    <w:rsid w:val="00236664"/>
    <w:rsid w:val="00296A6F"/>
    <w:rsid w:val="00336BFD"/>
    <w:rsid w:val="00347E2D"/>
    <w:rsid w:val="003C15A7"/>
    <w:rsid w:val="004710AD"/>
    <w:rsid w:val="004A1229"/>
    <w:rsid w:val="004B7E05"/>
    <w:rsid w:val="004E1695"/>
    <w:rsid w:val="004E36E8"/>
    <w:rsid w:val="004E60FF"/>
    <w:rsid w:val="005501A6"/>
    <w:rsid w:val="0056215A"/>
    <w:rsid w:val="00574D6E"/>
    <w:rsid w:val="00696848"/>
    <w:rsid w:val="006B7BBE"/>
    <w:rsid w:val="006F0C04"/>
    <w:rsid w:val="00710F2F"/>
    <w:rsid w:val="00745832"/>
    <w:rsid w:val="00754600"/>
    <w:rsid w:val="007939FF"/>
    <w:rsid w:val="007B69E0"/>
    <w:rsid w:val="007C6698"/>
    <w:rsid w:val="007D18F2"/>
    <w:rsid w:val="00802A56"/>
    <w:rsid w:val="008108A1"/>
    <w:rsid w:val="00893506"/>
    <w:rsid w:val="008B6B47"/>
    <w:rsid w:val="00913EC8"/>
    <w:rsid w:val="0095476B"/>
    <w:rsid w:val="009B7498"/>
    <w:rsid w:val="009C3095"/>
    <w:rsid w:val="009D6B98"/>
    <w:rsid w:val="009D6C2F"/>
    <w:rsid w:val="00AA2821"/>
    <w:rsid w:val="00AB61AB"/>
    <w:rsid w:val="00B176E3"/>
    <w:rsid w:val="00B2191F"/>
    <w:rsid w:val="00BB0B6A"/>
    <w:rsid w:val="00BC5A61"/>
    <w:rsid w:val="00BE6FF3"/>
    <w:rsid w:val="00C53996"/>
    <w:rsid w:val="00CB44CC"/>
    <w:rsid w:val="00CD2A8D"/>
    <w:rsid w:val="00D14678"/>
    <w:rsid w:val="00D31D0E"/>
    <w:rsid w:val="00D67F6D"/>
    <w:rsid w:val="00DC5CE4"/>
    <w:rsid w:val="00DE3F63"/>
    <w:rsid w:val="00DE53B0"/>
    <w:rsid w:val="00DF3644"/>
    <w:rsid w:val="00E25C74"/>
    <w:rsid w:val="00E52124"/>
    <w:rsid w:val="00E66D53"/>
    <w:rsid w:val="00EE45F0"/>
    <w:rsid w:val="00EE5966"/>
    <w:rsid w:val="00EF3108"/>
    <w:rsid w:val="00FA6E51"/>
    <w:rsid w:val="00FB316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9B9"/>
  <w15:docId w15:val="{19D27935-CBBC-4349-8065-E676BEB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3"/>
  </w:style>
  <w:style w:type="paragraph" w:styleId="1">
    <w:name w:val="heading 1"/>
    <w:basedOn w:val="a"/>
    <w:next w:val="a"/>
    <w:link w:val="10"/>
    <w:qFormat/>
    <w:rsid w:val="00E521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D31D0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D31D0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2">
    <w:name w:val="Абзац списка2"/>
    <w:basedOn w:val="a"/>
    <w:uiPriority w:val="34"/>
    <w:qFormat/>
    <w:rsid w:val="00710F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52124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styleId="aa">
    <w:name w:val="annotation reference"/>
    <w:uiPriority w:val="99"/>
    <w:unhideWhenUsed/>
    <w:rsid w:val="00103363"/>
    <w:rPr>
      <w:sz w:val="16"/>
      <w:szCs w:val="16"/>
    </w:rPr>
  </w:style>
  <w:style w:type="paragraph" w:styleId="3">
    <w:name w:val="Body Text 3"/>
    <w:basedOn w:val="a"/>
    <w:link w:val="30"/>
    <w:rsid w:val="0010336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30">
    <w:name w:val="Основной текст 3 Знак"/>
    <w:basedOn w:val="a0"/>
    <w:link w:val="3"/>
    <w:rsid w:val="00103363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ab">
    <w:name w:val="Body Text"/>
    <w:basedOn w:val="a"/>
    <w:link w:val="ac"/>
    <w:rsid w:val="00103363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character" w:customStyle="1" w:styleId="ac">
    <w:name w:val="Основной текст Знак"/>
    <w:basedOn w:val="a0"/>
    <w:link w:val="ab"/>
    <w:rsid w:val="00103363"/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8B6B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B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B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B47"/>
    <w:rPr>
      <w:b/>
      <w:bCs/>
      <w:sz w:val="20"/>
      <w:szCs w:val="20"/>
    </w:rPr>
  </w:style>
  <w:style w:type="paragraph" w:styleId="af1">
    <w:name w:val="footer"/>
    <w:basedOn w:val="a"/>
    <w:link w:val="af2"/>
    <w:rsid w:val="00197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9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19708F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46B2-1B28-40B8-B3EB-8DB009D4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2021-04-05T12:21:00Z</cp:lastPrinted>
  <dcterms:created xsi:type="dcterms:W3CDTF">2021-06-10T09:54:00Z</dcterms:created>
  <dcterms:modified xsi:type="dcterms:W3CDTF">2021-08-23T16:35:00Z</dcterms:modified>
</cp:coreProperties>
</file>