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A4" w:rsidRPr="00310E20" w:rsidRDefault="00EF3108" w:rsidP="00310E2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0E20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Pr="00310E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șa disciplinei </w:t>
      </w:r>
      <w:r w:rsidR="00242D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Sănătatea adolescentului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388"/>
        <w:gridCol w:w="851"/>
        <w:gridCol w:w="3260"/>
        <w:gridCol w:w="1276"/>
      </w:tblGrid>
      <w:tr w:rsidR="000B7EA4" w:rsidRPr="004F07CB" w:rsidTr="001908D8">
        <w:tc>
          <w:tcPr>
            <w:tcW w:w="2689" w:type="dxa"/>
            <w:shd w:val="clear" w:color="auto" w:fill="DEEAF6" w:themeFill="accent1" w:themeFillTint="33"/>
          </w:tcPr>
          <w:p w:rsidR="000B7EA4" w:rsidRPr="00310E20" w:rsidRDefault="000B7E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10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310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disciplinei</w:t>
            </w:r>
            <w:proofErr w:type="spellEnd"/>
          </w:p>
        </w:tc>
        <w:tc>
          <w:tcPr>
            <w:tcW w:w="6775" w:type="dxa"/>
            <w:gridSpan w:val="4"/>
          </w:tcPr>
          <w:p w:rsidR="000B7EA4" w:rsidRPr="00242DEB" w:rsidRDefault="00242D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2D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Sănătatea adolescentului</w:t>
            </w:r>
          </w:p>
        </w:tc>
      </w:tr>
      <w:tr w:rsidR="004404AF" w:rsidRPr="003858CE" w:rsidTr="00951570">
        <w:tc>
          <w:tcPr>
            <w:tcW w:w="2689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4404AF" w:rsidRPr="00A92748" w:rsidRDefault="004404AF" w:rsidP="00242D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7B5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pțional</w:t>
            </w:r>
            <w:proofErr w:type="spellEnd"/>
          </w:p>
        </w:tc>
        <w:tc>
          <w:tcPr>
            <w:tcW w:w="3260" w:type="dxa"/>
            <w:vAlign w:val="center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  <w:proofErr w:type="spellEnd"/>
          </w:p>
        </w:tc>
        <w:tc>
          <w:tcPr>
            <w:tcW w:w="1276" w:type="dxa"/>
            <w:vAlign w:val="center"/>
          </w:tcPr>
          <w:p w:rsidR="004404AF" w:rsidRPr="00A92748" w:rsidRDefault="00242DEB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04AF" w:rsidRPr="003858CE" w:rsidTr="00951570">
        <w:tc>
          <w:tcPr>
            <w:tcW w:w="2689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studii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4404AF" w:rsidRPr="00A92748" w:rsidRDefault="004404AF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</w:p>
        </w:tc>
        <w:tc>
          <w:tcPr>
            <w:tcW w:w="1276" w:type="dxa"/>
            <w:vAlign w:val="center"/>
          </w:tcPr>
          <w:p w:rsidR="004404AF" w:rsidRPr="00A92748" w:rsidRDefault="004404AF" w:rsidP="00440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404AF" w:rsidRPr="003858CE" w:rsidTr="00951570">
        <w:tc>
          <w:tcPr>
            <w:tcW w:w="2689" w:type="dxa"/>
            <w:vMerge w:val="restart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ore</w:t>
            </w:r>
          </w:p>
        </w:tc>
        <w:tc>
          <w:tcPr>
            <w:tcW w:w="1388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404AF" w:rsidRPr="00A92748" w:rsidRDefault="00242DEB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4404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3260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practice</w:t>
            </w:r>
          </w:p>
        </w:tc>
        <w:tc>
          <w:tcPr>
            <w:tcW w:w="1276" w:type="dxa"/>
            <w:vAlign w:val="center"/>
          </w:tcPr>
          <w:p w:rsidR="004404AF" w:rsidRPr="00A92748" w:rsidRDefault="00242DEB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4404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</w:tr>
      <w:tr w:rsidR="004404AF" w:rsidRPr="003858CE" w:rsidTr="00951570">
        <w:tc>
          <w:tcPr>
            <w:tcW w:w="2689" w:type="dxa"/>
            <w:vMerge/>
          </w:tcPr>
          <w:p w:rsidR="004404AF" w:rsidRPr="003858CE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  <w:proofErr w:type="spellEnd"/>
          </w:p>
        </w:tc>
        <w:tc>
          <w:tcPr>
            <w:tcW w:w="851" w:type="dxa"/>
            <w:vAlign w:val="center"/>
          </w:tcPr>
          <w:p w:rsidR="004404AF" w:rsidRPr="00A92748" w:rsidRDefault="00242DEB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="004404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  <w:tc>
          <w:tcPr>
            <w:tcW w:w="3260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</w:p>
        </w:tc>
        <w:tc>
          <w:tcPr>
            <w:tcW w:w="1276" w:type="dxa"/>
            <w:vAlign w:val="center"/>
          </w:tcPr>
          <w:p w:rsidR="004404AF" w:rsidRPr="00A92748" w:rsidRDefault="00242DEB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4404A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</w:p>
        </w:tc>
      </w:tr>
      <w:tr w:rsidR="000B7EA4" w:rsidRPr="004F07CB" w:rsidTr="001908D8">
        <w:tc>
          <w:tcPr>
            <w:tcW w:w="2689" w:type="dxa"/>
          </w:tcPr>
          <w:p w:rsidR="000B7EA4" w:rsidRPr="004F07CB" w:rsidRDefault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Componenta</w:t>
            </w:r>
          </w:p>
        </w:tc>
        <w:tc>
          <w:tcPr>
            <w:tcW w:w="6775" w:type="dxa"/>
            <w:gridSpan w:val="4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 specialitate</w:t>
            </w:r>
          </w:p>
        </w:tc>
      </w:tr>
      <w:tr w:rsidR="000B7EA4" w:rsidRPr="004F07CB" w:rsidTr="001908D8">
        <w:tc>
          <w:tcPr>
            <w:tcW w:w="2689" w:type="dxa"/>
          </w:tcPr>
          <w:p w:rsidR="000B7EA4" w:rsidRPr="004F07CB" w:rsidRDefault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775" w:type="dxa"/>
            <w:gridSpan w:val="4"/>
          </w:tcPr>
          <w:p w:rsidR="000B7EA4" w:rsidRPr="004F07CB" w:rsidRDefault="00EF3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Revenco</w:t>
            </w:r>
            <w:proofErr w:type="spellEnd"/>
          </w:p>
        </w:tc>
      </w:tr>
      <w:tr w:rsidR="000B7EA4" w:rsidRPr="004F07CB" w:rsidTr="001908D8">
        <w:tc>
          <w:tcPr>
            <w:tcW w:w="2689" w:type="dxa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775" w:type="dxa"/>
            <w:gridSpan w:val="4"/>
          </w:tcPr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Pediatrie</w:t>
            </w:r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IMSP Institutul Mamei şi Copilului,</w:t>
            </w:r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Burebista, 93,</w:t>
            </w:r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MD-2062,</w:t>
            </w:r>
            <w:bookmarkStart w:id="0" w:name="_GoBack"/>
            <w:bookmarkEnd w:id="0"/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  <w:p w:rsidR="000B7EA4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32 205 835</w:t>
            </w:r>
          </w:p>
        </w:tc>
      </w:tr>
      <w:tr w:rsidR="000B7EA4" w:rsidRPr="007B5A04" w:rsidTr="004F07CB">
        <w:trPr>
          <w:trHeight w:val="1394"/>
        </w:trPr>
        <w:tc>
          <w:tcPr>
            <w:tcW w:w="2689" w:type="dxa"/>
            <w:vMerge w:val="restart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0B7EA4" w:rsidRPr="004F07CB" w:rsidRDefault="000B7EA4" w:rsidP="00242DEB">
            <w:pPr>
              <w:pStyle w:val="a8"/>
              <w:ind w:firstLine="0"/>
              <w:jc w:val="both"/>
              <w:rPr>
                <w:szCs w:val="24"/>
              </w:rPr>
            </w:pPr>
            <w:r w:rsidRPr="004F07CB">
              <w:rPr>
                <w:iCs/>
                <w:szCs w:val="24"/>
                <w:lang w:val="fr-FR"/>
              </w:rPr>
              <w:t>Program</w:t>
            </w:r>
            <w:r w:rsidR="00657BCB" w:rsidRPr="004F07CB">
              <w:rPr>
                <w:iCs/>
                <w:szCs w:val="24"/>
                <w:lang w:val="fr-FR"/>
              </w:rPr>
              <w:t xml:space="preserve">: </w:t>
            </w:r>
            <w:r w:rsidR="00657BCB" w:rsidRPr="004F07CB">
              <w:rPr>
                <w:szCs w:val="24"/>
              </w:rPr>
              <w:t xml:space="preserve">cunoaşterea disciplinelor fundamentale și de specialitate studiate în anii precedenți (anatomie, fiziologie, farmacologie, semiologie medicală, nutriție și dietetică), la fel integrarea cu alte disciplini – </w:t>
            </w:r>
            <w:r w:rsidR="00657BCB" w:rsidRPr="004F07CB">
              <w:rPr>
                <w:color w:val="000000"/>
                <w:szCs w:val="24"/>
              </w:rPr>
              <w:t>nursing general, nursing în obstetrică ginecologie, medicina internă</w:t>
            </w:r>
            <w:r w:rsidR="00657BCB" w:rsidRPr="004F07CB">
              <w:rPr>
                <w:szCs w:val="24"/>
              </w:rPr>
              <w:t xml:space="preserve">, etc. </w:t>
            </w:r>
          </w:p>
        </w:tc>
      </w:tr>
      <w:tr w:rsidR="000B7EA4" w:rsidRPr="007B5A04" w:rsidTr="001908D8">
        <w:tc>
          <w:tcPr>
            <w:tcW w:w="2689" w:type="dxa"/>
            <w:vMerge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0B7EA4" w:rsidRPr="004F07CB" w:rsidRDefault="000B7EA4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Competențe</w:t>
            </w:r>
            <w:r w:rsidR="00657BCB"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: </w:t>
            </w:r>
            <w:r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cunoaşterea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limbii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competenţe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internetului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tabelelor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prezentărilor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programelor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abilitatea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calităţi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toleranţă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iniţiativă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compasiune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autonomie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7EA4" w:rsidRPr="007B5A04" w:rsidTr="001908D8">
        <w:tc>
          <w:tcPr>
            <w:tcW w:w="2689" w:type="dxa"/>
            <w:shd w:val="clear" w:color="auto" w:fill="DEEAF6" w:themeFill="accent1" w:themeFillTint="33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775" w:type="dxa"/>
            <w:gridSpan w:val="4"/>
          </w:tcPr>
          <w:p w:rsidR="00242DEB" w:rsidRPr="00242DEB" w:rsidRDefault="00657BCB" w:rsidP="00242DE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DE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Misiunea</w:t>
            </w:r>
            <w:r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curriculumului </w:t>
            </w:r>
            <w:r w:rsidR="00242DEB"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este formarea de bază, academică a viitorului asistent medical în domeniul medicinei adolescentului pentru sistemul de sănătate din republică conform standardelor naţionale şi internaţionale, promovarea educaţiei, valorilor general-umane, a deontologiei şi bioeticii. </w:t>
            </w:r>
          </w:p>
          <w:p w:rsidR="00242DEB" w:rsidRPr="00242DEB" w:rsidRDefault="00242DEB" w:rsidP="00242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D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Scopul disciplinei</w:t>
            </w:r>
            <w:r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242DEB" w:rsidRPr="00242DEB" w:rsidRDefault="00242DEB" w:rsidP="00242D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151"/>
              </w:tabs>
              <w:ind w:left="0" w:firstLine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Cunoaşterea legislației naționale, prevederile internaționale, particularităţile de prestare a serviciilor de sănătate prietenoase tinerilor în Republica Moldova.</w:t>
            </w:r>
          </w:p>
          <w:p w:rsidR="00242DEB" w:rsidRPr="00242DEB" w:rsidRDefault="00242DEB" w:rsidP="00242DEB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151"/>
              </w:tabs>
              <w:ind w:left="0" w:firstLine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şi însuşirea particularităților de dezvoltare bio-psiho-socială a adolescentului.</w:t>
            </w:r>
          </w:p>
          <w:p w:rsidR="00242DEB" w:rsidRPr="00242DEB" w:rsidRDefault="00242DEB" w:rsidP="00242DEB">
            <w:pPr>
              <w:pStyle w:val="a5"/>
              <w:numPr>
                <w:ilvl w:val="0"/>
                <w:numId w:val="7"/>
              </w:numPr>
              <w:tabs>
                <w:tab w:val="left" w:pos="1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 abilităților corecte necesare în interacțiunea cu adolescentul, abordarea integrată a sănătăţii adolescenţilor.</w:t>
            </w:r>
          </w:p>
          <w:p w:rsidR="00242DEB" w:rsidRPr="00242DEB" w:rsidRDefault="00242DEB" w:rsidP="00242DEB">
            <w:pPr>
              <w:pStyle w:val="a5"/>
              <w:numPr>
                <w:ilvl w:val="0"/>
                <w:numId w:val="7"/>
              </w:numPr>
              <w:tabs>
                <w:tab w:val="left" w:pos="15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Cunoaşterea particularităţilor morfo-funcţionale, modificărilor fiziologice şi patologice, a patologiilor specifice vârstei de adolescenți.</w:t>
            </w:r>
          </w:p>
          <w:p w:rsidR="000B7EA4" w:rsidRPr="00242DEB" w:rsidRDefault="00242DEB" w:rsidP="00242DEB">
            <w:pPr>
              <w:widowControl w:val="0"/>
              <w:numPr>
                <w:ilvl w:val="0"/>
                <w:numId w:val="11"/>
              </w:numPr>
              <w:tabs>
                <w:tab w:val="left" w:pos="15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42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întreprindă măsuri preventive la nivel de comunitate prin sensibilizare și educare a populației în domeniul problemelor de sănătate mentală, sexual-reproductivă la adolescenți</w:t>
            </w:r>
            <w:r w:rsidRPr="00242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0B7EA4" w:rsidRPr="007B5A04" w:rsidTr="001908D8">
        <w:tc>
          <w:tcPr>
            <w:tcW w:w="2689" w:type="dxa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242DEB" w:rsidRPr="008D3030" w:rsidRDefault="00242DEB" w:rsidP="00242D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/>
                <w:sz w:val="24"/>
                <w:szCs w:val="24"/>
                <w:lang w:val="ro-RO"/>
              </w:rPr>
              <w:t>Terminologia de „adolescență”, „adolescent”, baza legală a serviciilor medicale acordate acestei grupe de vârstă.</w:t>
            </w:r>
          </w:p>
          <w:p w:rsidR="000B7EA4" w:rsidRPr="008D3030" w:rsidRDefault="00242DEB" w:rsidP="008D3030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Bazele teoretice ale adolescenței – dezvoltarea bio-psiho-socială</w:t>
            </w:r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neuro-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psihică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psiho-sexuală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pubertară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Pubertatea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precoce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tardivă</w:t>
            </w:r>
            <w:proofErr w:type="spellEnd"/>
            <w:r w:rsidR="008D3030"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D3030" w:rsidRPr="008D3030" w:rsidRDefault="008D3030" w:rsidP="008D3030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1" w:name="_Hlk84587149"/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Abordarea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integrată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sănătăţii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adolescenţilor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End w:id="1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Particularităţile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prestare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prietenoase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tinerilor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(SSPT). </w:t>
            </w: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Intervievarea și comunicarea cu adolescenții.</w:t>
            </w:r>
          </w:p>
          <w:p w:rsidR="008D3030" w:rsidRPr="008D3030" w:rsidRDefault="008D3030" w:rsidP="008D3030">
            <w:pPr>
              <w:tabs>
                <w:tab w:val="left" w:pos="4899"/>
                <w:tab w:val="left" w:pos="5109"/>
                <w:tab w:val="left" w:pos="65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Stariile tranzitorii şi dereglările funcţionale la adolescenţi.</w:t>
            </w:r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Identificarea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dereglărilor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nutriţie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carenţa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micronutrienţi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bezitatea</w:t>
            </w:r>
            <w:proofErr w:type="spellEnd"/>
            <w:proofErr w:type="gram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Devieri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comportamentul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alimentar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bulemia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anorexia)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D3030" w:rsidRPr="008D3030" w:rsidRDefault="008D3030" w:rsidP="008D303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Identificarea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problemelor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sănătate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mentală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adicţii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violenta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Bullying </w:t>
            </w:r>
            <w:proofErr w:type="gram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violent</w:t>
            </w:r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,</w:t>
            </w:r>
            <w:proofErr w:type="gram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suicid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școală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Dificultăți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învățare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Tulburări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psihice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D3030" w:rsidRPr="004F07CB" w:rsidRDefault="008D3030" w:rsidP="008D3030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Particularităţile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comportamentului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sexual la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Problemele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sănătăţii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sexual-reproductive la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adolescenţi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(ITS/HIV,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sarcina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precoce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etc</w:t>
            </w:r>
            <w:proofErr w:type="spellEnd"/>
            <w:r w:rsidRPr="008D30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8D3030" w:rsidRPr="007B5A04" w:rsidTr="001908D8">
        <w:tc>
          <w:tcPr>
            <w:tcW w:w="2689" w:type="dxa"/>
            <w:shd w:val="clear" w:color="auto" w:fill="DEEAF6" w:themeFill="accent1" w:themeFillTint="33"/>
          </w:tcPr>
          <w:p w:rsidR="008D3030" w:rsidRPr="004F07CB" w:rsidRDefault="008D3030" w:rsidP="008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Finalități de studiu</w:t>
            </w:r>
          </w:p>
          <w:p w:rsidR="008D3030" w:rsidRPr="004F07CB" w:rsidRDefault="008D3030" w:rsidP="008D30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cunoască terminologia de „adolescență”, „adolescent”, baza legală a serviciilor medicale acordate acestei grupe de vârstă.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cunoască bazele teoretice ale adolescenței – dezvoltarea bio-psiho-socială.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cunoască conceptele de îngrijire bazată pe dovezi, conform recomandărilor OMS;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stabilească planul de îngrijire pentru adolescent în funcţie de datele colectate;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cunoască </w:t>
            </w:r>
            <w:r w:rsidRPr="000253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nevoile nutriţionale şi </w:t>
            </w: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0253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ă promoveze </w:t>
            </w: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principiile alimentaţiei sănătoase ale adolescentului. 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cunoască stările tranzitorii și dereglările funcționale la adolescenți.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identifice factorii de risc, comportamentele deviate, potențiale consecințe imediate și tardive. 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cunoască pregătirea adolescentului către metodele de diagnostic şi conduită în diferite contexte clinice.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definească conceptul de sănătate mintală și tulburări potențiale la adolescenți.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Să evalueze şi să răspundă nevoilor psihosociale ale copilului.</w:t>
            </w:r>
          </w:p>
          <w:p w:rsidR="00025394" w:rsidRPr="00025394" w:rsidRDefault="00025394" w:rsidP="00025394">
            <w:pPr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ind w:left="293" w:right="-1" w:hanging="28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completeze actele medicale curente: carnetul de dezvoltare a copilului, fişa de observaţie, evidenţa zilnică.</w:t>
            </w:r>
          </w:p>
          <w:p w:rsidR="00025394" w:rsidRPr="00025394" w:rsidRDefault="00025394" w:rsidP="00025394">
            <w:pPr>
              <w:pStyle w:val="a4"/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spacing w:before="0" w:beforeAutospacing="0" w:after="0" w:afterAutospacing="0"/>
              <w:ind w:left="293" w:right="-142" w:hanging="285"/>
              <w:jc w:val="both"/>
              <w:rPr>
                <w:color w:val="000000"/>
                <w:lang w:val="en-US"/>
              </w:rPr>
            </w:pPr>
            <w:proofErr w:type="spellStart"/>
            <w:r w:rsidRPr="00025394">
              <w:rPr>
                <w:color w:val="000000"/>
                <w:lang w:val="en-US"/>
              </w:rPr>
              <w:t>Să</w:t>
            </w:r>
            <w:proofErr w:type="spellEnd"/>
            <w:r w:rsidRPr="00025394">
              <w:rPr>
                <w:color w:val="000000"/>
                <w:lang w:val="en-US"/>
              </w:rPr>
              <w:t xml:space="preserve"> </w:t>
            </w:r>
            <w:proofErr w:type="spellStart"/>
            <w:r w:rsidRPr="00025394">
              <w:rPr>
                <w:color w:val="000000"/>
                <w:lang w:val="en-US"/>
              </w:rPr>
              <w:t>aplice</w:t>
            </w:r>
            <w:proofErr w:type="spellEnd"/>
            <w:r w:rsidRPr="00025394">
              <w:rPr>
                <w:color w:val="000000"/>
                <w:lang w:val="en-US"/>
              </w:rPr>
              <w:t xml:space="preserve"> </w:t>
            </w:r>
            <w:proofErr w:type="spellStart"/>
            <w:r w:rsidRPr="00025394">
              <w:rPr>
                <w:color w:val="000000"/>
                <w:lang w:val="en-US"/>
              </w:rPr>
              <w:t>tehnici</w:t>
            </w:r>
            <w:proofErr w:type="spellEnd"/>
            <w:r w:rsidRPr="00025394">
              <w:rPr>
                <w:color w:val="000000"/>
                <w:lang w:val="en-US"/>
              </w:rPr>
              <w:t xml:space="preserve"> de </w:t>
            </w:r>
            <w:proofErr w:type="spellStart"/>
            <w:r w:rsidRPr="00025394">
              <w:rPr>
                <w:color w:val="000000"/>
                <w:lang w:val="en-US"/>
              </w:rPr>
              <w:t>îngrijire</w:t>
            </w:r>
            <w:proofErr w:type="spellEnd"/>
            <w:r w:rsidRPr="00025394">
              <w:rPr>
                <w:color w:val="000000"/>
                <w:lang w:val="en-US"/>
              </w:rPr>
              <w:t xml:space="preserve"> </w:t>
            </w:r>
            <w:proofErr w:type="spellStart"/>
            <w:r w:rsidRPr="00025394">
              <w:rPr>
                <w:color w:val="000000"/>
                <w:lang w:val="en-US"/>
              </w:rPr>
              <w:t>şi</w:t>
            </w:r>
            <w:proofErr w:type="spellEnd"/>
            <w:r w:rsidRPr="00025394">
              <w:rPr>
                <w:color w:val="000000"/>
                <w:lang w:val="en-US"/>
              </w:rPr>
              <w:t xml:space="preserve"> </w:t>
            </w:r>
            <w:proofErr w:type="spellStart"/>
            <w:r w:rsidRPr="00025394">
              <w:rPr>
                <w:color w:val="000000"/>
                <w:lang w:val="en-US"/>
              </w:rPr>
              <w:t>supraveghere</w:t>
            </w:r>
            <w:proofErr w:type="spellEnd"/>
            <w:r w:rsidRPr="00025394">
              <w:rPr>
                <w:color w:val="000000"/>
                <w:lang w:val="en-US"/>
              </w:rPr>
              <w:t xml:space="preserve"> a </w:t>
            </w:r>
            <w:proofErr w:type="spellStart"/>
            <w:r w:rsidRPr="00025394">
              <w:rPr>
                <w:color w:val="000000"/>
                <w:lang w:val="en-US"/>
              </w:rPr>
              <w:t>adolescentului</w:t>
            </w:r>
            <w:proofErr w:type="spellEnd"/>
            <w:r w:rsidRPr="00025394">
              <w:rPr>
                <w:color w:val="000000"/>
                <w:lang w:val="en-US"/>
              </w:rPr>
              <w:t>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spacing w:after="0" w:line="240" w:lineRule="auto"/>
              <w:ind w:left="293" w:right="-1" w:hanging="28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aplice m</w:t>
            </w:r>
            <w:r w:rsidRPr="000253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ăsurări antropometrice cu aprecierea dezvoltării fizice și biologice (evaluarea pubertară după Tanner) la adolescenți.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spacing w:after="0" w:line="240" w:lineRule="auto"/>
              <w:ind w:left="293" w:right="-1" w:hanging="28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Să aplice tehnici şi metodologii de  colectare a unei anamneze a adolescentului. 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spacing w:after="0" w:line="240" w:lineRule="auto"/>
              <w:ind w:left="293" w:right="-1" w:hanging="28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a</w:t>
            </w:r>
            <w:r w:rsidRPr="000253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precieze</w:t>
            </w:r>
            <w:r w:rsidRPr="0002539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statusul nutriţional a adolescentului. 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spacing w:after="0" w:line="240" w:lineRule="auto"/>
              <w:ind w:left="293" w:right="-1" w:hanging="28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Să recunoască semnele de avertizare,  factorii de risc și de protecție, comportamentele deviante. 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spacing w:after="0" w:line="240" w:lineRule="auto"/>
              <w:ind w:left="293" w:right="-1" w:hanging="285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aplice instrumentele MEADS / HEAADSSS pentru evaluarea sănătății mintale la adolescenți.</w:t>
            </w:r>
          </w:p>
          <w:p w:rsidR="00025394" w:rsidRPr="00025394" w:rsidRDefault="00025394" w:rsidP="00025394">
            <w:pPr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ind w:left="293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Să aplice tehnici de pregătire a adolescentului către teste de laborator (clinice, biochimice, imunologice), investigaţii imagistice, instrumentale, etc și s</w:t>
            </w:r>
            <w:r w:rsidRPr="0002539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ă monitorizeze starea pacientului după efectuarea tehnicilor și investigațiilor.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  <w:tab w:val="left" w:pos="540"/>
                <w:tab w:val="left" w:pos="567"/>
              </w:tabs>
              <w:spacing w:after="0" w:line="240" w:lineRule="auto"/>
              <w:ind w:left="293" w:right="-1" w:hanging="28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Să administreze tratamentul prescris conform diagnosticului stabilit și să monitorizeze starea pacientului după administrarea de medicamente.</w:t>
            </w:r>
          </w:p>
          <w:p w:rsidR="00025394" w:rsidRPr="00025394" w:rsidRDefault="00025394" w:rsidP="00025394">
            <w:pPr>
              <w:numPr>
                <w:ilvl w:val="0"/>
                <w:numId w:val="14"/>
              </w:numPr>
              <w:tabs>
                <w:tab w:val="left" w:pos="435"/>
                <w:tab w:val="left" w:pos="540"/>
              </w:tabs>
              <w:ind w:left="293" w:hanging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Să desfășoare activități de educație sanitară privind promovarea sănătății adolescenților, prevenirea îmbolnăvirilor sau a </w:t>
            </w:r>
            <w:r w:rsidRPr="0002539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dezvoltării adicțiilor.</w:t>
            </w:r>
          </w:p>
          <w:p w:rsidR="00025394" w:rsidRPr="00025394" w:rsidRDefault="00025394" w:rsidP="00025394">
            <w:pPr>
              <w:numPr>
                <w:ilvl w:val="0"/>
                <w:numId w:val="14"/>
              </w:numPr>
              <w:tabs>
                <w:tab w:val="left" w:pos="435"/>
              </w:tabs>
              <w:ind w:left="293" w:hanging="28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cunoască principiile  de bază şi structura funcţională a asistenţei medicale a adolescenților în RM;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aprecieze importanţa medicinei adolescentului în contextul specialității de nursing și a Medicinii Generale, precum şi integrarea cu disciplinele medicale conexe.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dezvolte cunoştinţe despre abordarea integrată a adolescentului.</w:t>
            </w:r>
          </w:p>
          <w:p w:rsidR="00025394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>Să promoveze implementarea noilor cunoştinţe şi practici de îngrijire, pentru dezvoltare adecvată în toate activităţile viitorilor lucrători medicali, părinţi sau îngrijitori de copil.</w:t>
            </w:r>
          </w:p>
          <w:p w:rsidR="008D3030" w:rsidRPr="00025394" w:rsidRDefault="00025394" w:rsidP="00025394">
            <w:pPr>
              <w:pStyle w:val="2"/>
              <w:numPr>
                <w:ilvl w:val="0"/>
                <w:numId w:val="14"/>
              </w:numPr>
              <w:tabs>
                <w:tab w:val="left" w:pos="435"/>
              </w:tabs>
              <w:autoSpaceDE w:val="0"/>
              <w:autoSpaceDN w:val="0"/>
              <w:adjustRightInd w:val="0"/>
              <w:spacing w:after="0" w:line="240" w:lineRule="auto"/>
              <w:ind w:left="293" w:hanging="285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2539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fie apt de a evalua şi autoevalua obiectiv cunoştinţele în domeniu, de a asimila noile realizări în disciplinele clinice. </w:t>
            </w:r>
          </w:p>
        </w:tc>
      </w:tr>
      <w:tr w:rsidR="008D3030" w:rsidRPr="007B5A04" w:rsidTr="001908D8">
        <w:tc>
          <w:tcPr>
            <w:tcW w:w="2689" w:type="dxa"/>
          </w:tcPr>
          <w:p w:rsidR="008D3030" w:rsidRPr="004F07CB" w:rsidRDefault="008D3030" w:rsidP="008D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Manopere practice achiziționate</w:t>
            </w:r>
          </w:p>
          <w:p w:rsidR="008D3030" w:rsidRPr="004F07CB" w:rsidRDefault="008D3030" w:rsidP="008D30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8D3030" w:rsidRPr="008D3030" w:rsidRDefault="008D3030" w:rsidP="008D3030">
            <w:pPr>
              <w:pStyle w:val="TableContents"/>
              <w:numPr>
                <w:ilvl w:val="0"/>
                <w:numId w:val="13"/>
              </w:numPr>
              <w:ind w:left="290" w:hanging="284"/>
              <w:rPr>
                <w:rFonts w:cs="Times New Roman"/>
              </w:rPr>
            </w:pPr>
            <w:r w:rsidRPr="008D3030">
              <w:rPr>
                <w:rFonts w:cs="Times New Roman"/>
              </w:rPr>
              <w:t>Colectarea anamnezei şi examenului obiectiv al adolescentului</w:t>
            </w:r>
            <w:r w:rsidRPr="008D3030">
              <w:rPr>
                <w:rFonts w:cs="Times New Roman"/>
                <w:lang w:val="it-IT"/>
              </w:rPr>
              <w:t>.</w:t>
            </w:r>
          </w:p>
          <w:p w:rsid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Aprecierea maturităţii fizice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maturităţii sexuale cu precizie folosind stadiile Tanner.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Recunoaşterea pubertaţii precoce şi întârziate.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Aprecierea </w:t>
            </w: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dezvoltării neuropsihice a adolescentului.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Aprecierea statutului nutriţional al adolescentului.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Metodele de evaluare a relaţiilor dintre statura părintelui şi statura unui adolescent.</w:t>
            </w:r>
          </w:p>
          <w:p w:rsidR="008D3030" w:rsidRPr="008D3030" w:rsidRDefault="008D3030" w:rsidP="008D3030">
            <w:pPr>
              <w:pStyle w:val="a5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Identificarea influenţelor genetice şi de mediu asupra calendarului de pubertate.</w:t>
            </w:r>
          </w:p>
          <w:p w:rsidR="008D3030" w:rsidRPr="008D3030" w:rsidRDefault="008D3030" w:rsidP="008D3030">
            <w:pPr>
              <w:pStyle w:val="a5"/>
              <w:numPr>
                <w:ilvl w:val="0"/>
                <w:numId w:val="13"/>
              </w:numPr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Identificarea riscurilor psiho-sociale ale pubertăţii precoce și întărziate.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Interpretarea parametrilor de laborator (profil hormonal, colesterol, trigliceride, ş.a) în timpul pubertaţii.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Interpretarea disparităţii între vîrsta osoasă şi vîrsta cronologică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Interpretarea parametrilor tensiunii arteriale în relaţii cu înălţimea şi vîrstă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Evaluarea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schemei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HEADSS  assessment</w:t>
            </w:r>
            <w:proofErr w:type="gram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(home, education and employment, activities, drinks and drugs, sexuality and suicide).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Determinarea nivelului de raţiona</w:t>
            </w:r>
            <w:r w:rsidR="00FA45F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ment cognitiv al adolescenţilor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Aprecierea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criteriilor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tulburărilor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alimentaţie</w:t>
            </w:r>
            <w:proofErr w:type="spellEnd"/>
            <w:r w:rsidR="004F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4F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5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nutriție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anorexie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bulemie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tulburări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alimentaţie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Identificarea schimbărilor de comportament </w:t>
            </w:r>
            <w:r w:rsidR="004F52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Pr="008D30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debutul adolescenţei (oboseala, somnul îndelungat, iritabilitate, secretomanie)</w:t>
            </w:r>
          </w:p>
          <w:p w:rsidR="008D3030" w:rsidRPr="008D3030" w:rsidRDefault="008D3030" w:rsidP="008D3030">
            <w:pPr>
              <w:pStyle w:val="a5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Identificarea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problemelor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sănătate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mintală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adolescenţi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adicţii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violenţă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suicid</w:t>
            </w:r>
            <w:proofErr w:type="spellEnd"/>
            <w:r w:rsidRPr="008D3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etc.)</w:t>
            </w:r>
          </w:p>
          <w:p w:rsidR="008D3030" w:rsidRPr="008D3030" w:rsidRDefault="008D3030" w:rsidP="008D3030">
            <w:pPr>
              <w:pStyle w:val="a5"/>
              <w:widowControl w:val="0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indica măsuri de prevenire şi reabilitare conform diagnosticului stabilit</w:t>
            </w:r>
          </w:p>
          <w:p w:rsidR="008D3030" w:rsidRPr="008D3030" w:rsidRDefault="008D3030" w:rsidP="008D3030">
            <w:pPr>
              <w:pStyle w:val="a5"/>
              <w:numPr>
                <w:ilvl w:val="0"/>
                <w:numId w:val="13"/>
              </w:numPr>
              <w:tabs>
                <w:tab w:val="left" w:pos="435"/>
              </w:tabs>
              <w:ind w:left="290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Întocmirea planului de supraveghere a adolescentului cu maladii cronice</w:t>
            </w:r>
          </w:p>
        </w:tc>
      </w:tr>
      <w:tr w:rsidR="008D3030" w:rsidRPr="004F07CB" w:rsidTr="001908D8">
        <w:tc>
          <w:tcPr>
            <w:tcW w:w="2689" w:type="dxa"/>
            <w:shd w:val="clear" w:color="auto" w:fill="DEEAF6" w:themeFill="accent1" w:themeFillTint="33"/>
          </w:tcPr>
          <w:p w:rsidR="008D3030" w:rsidRPr="004F07CB" w:rsidRDefault="008D3030" w:rsidP="008D30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6775" w:type="dxa"/>
            <w:gridSpan w:val="4"/>
          </w:tcPr>
          <w:p w:rsidR="008D3030" w:rsidRPr="004F07CB" w:rsidRDefault="008D3030" w:rsidP="008D303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Examen </w:t>
            </w:r>
          </w:p>
        </w:tc>
      </w:tr>
    </w:tbl>
    <w:p w:rsidR="000B7EA4" w:rsidRPr="004F07CB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B7EA4" w:rsidRPr="004F07CB" w:rsidSect="00E6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FB3"/>
    <w:multiLevelType w:val="hybridMultilevel"/>
    <w:tmpl w:val="2950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2191E"/>
    <w:multiLevelType w:val="hybridMultilevel"/>
    <w:tmpl w:val="B984AB78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7DD6"/>
    <w:multiLevelType w:val="hybridMultilevel"/>
    <w:tmpl w:val="A69888E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05C6A82"/>
    <w:multiLevelType w:val="hybridMultilevel"/>
    <w:tmpl w:val="8BF84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E9E4B09"/>
    <w:multiLevelType w:val="hybridMultilevel"/>
    <w:tmpl w:val="2950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8B413F8"/>
    <w:multiLevelType w:val="hybridMultilevel"/>
    <w:tmpl w:val="6912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E01C48"/>
    <w:multiLevelType w:val="hybridMultilevel"/>
    <w:tmpl w:val="391C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444E5"/>
    <w:multiLevelType w:val="hybridMultilevel"/>
    <w:tmpl w:val="ECEA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B0"/>
    <w:rsid w:val="00025394"/>
    <w:rsid w:val="00045990"/>
    <w:rsid w:val="00086B9E"/>
    <w:rsid w:val="0009359B"/>
    <w:rsid w:val="000A6D47"/>
    <w:rsid w:val="000B7EA4"/>
    <w:rsid w:val="001908D8"/>
    <w:rsid w:val="001B7667"/>
    <w:rsid w:val="001D6C3D"/>
    <w:rsid w:val="00233F6C"/>
    <w:rsid w:val="00242DEB"/>
    <w:rsid w:val="002B4DAB"/>
    <w:rsid w:val="00306163"/>
    <w:rsid w:val="00310E20"/>
    <w:rsid w:val="00347E2D"/>
    <w:rsid w:val="004404AF"/>
    <w:rsid w:val="004710AD"/>
    <w:rsid w:val="00496D2D"/>
    <w:rsid w:val="004F07CB"/>
    <w:rsid w:val="004F5271"/>
    <w:rsid w:val="00657BCB"/>
    <w:rsid w:val="006B7BBE"/>
    <w:rsid w:val="007939FF"/>
    <w:rsid w:val="007B5A04"/>
    <w:rsid w:val="007C6698"/>
    <w:rsid w:val="007D18F2"/>
    <w:rsid w:val="00893506"/>
    <w:rsid w:val="008D3030"/>
    <w:rsid w:val="008D5B48"/>
    <w:rsid w:val="00B40904"/>
    <w:rsid w:val="00BA7398"/>
    <w:rsid w:val="00BD5393"/>
    <w:rsid w:val="00BE6FF3"/>
    <w:rsid w:val="00CB44CC"/>
    <w:rsid w:val="00D67F6D"/>
    <w:rsid w:val="00DE3F63"/>
    <w:rsid w:val="00DE53B0"/>
    <w:rsid w:val="00E01C7A"/>
    <w:rsid w:val="00E66D53"/>
    <w:rsid w:val="00EE45F0"/>
    <w:rsid w:val="00EF0775"/>
    <w:rsid w:val="00EF3108"/>
    <w:rsid w:val="00FA45F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8979"/>
  <w15:docId w15:val="{8A85D685-8EED-4BA2-8F9B-C614D017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657BC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657BC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">
    <w:name w:val="Body Text 3"/>
    <w:basedOn w:val="a"/>
    <w:link w:val="30"/>
    <w:uiPriority w:val="99"/>
    <w:unhideWhenUsed/>
    <w:rsid w:val="00496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6D2D"/>
    <w:rPr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96D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96D2D"/>
  </w:style>
  <w:style w:type="character" w:customStyle="1" w:styleId="apple-converted-space">
    <w:name w:val="apple-converted-space"/>
    <w:basedOn w:val="a0"/>
    <w:rsid w:val="00496D2D"/>
  </w:style>
  <w:style w:type="paragraph" w:customStyle="1" w:styleId="2">
    <w:name w:val="Абзац списка2"/>
    <w:basedOn w:val="a"/>
    <w:uiPriority w:val="34"/>
    <w:qFormat/>
    <w:rsid w:val="001D6C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8D30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B209B-5A6E-4159-B509-7845FCDF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2021-04-05T12:21:00Z</cp:lastPrinted>
  <dcterms:created xsi:type="dcterms:W3CDTF">2021-03-31T04:51:00Z</dcterms:created>
  <dcterms:modified xsi:type="dcterms:W3CDTF">2021-10-14T07:51:00Z</dcterms:modified>
</cp:coreProperties>
</file>