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78" w:rsidRPr="006B1610" w:rsidRDefault="002B2278" w:rsidP="002B2278">
      <w:pPr>
        <w:pStyle w:val="1"/>
        <w:rPr>
          <w:b w:val="0"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</w:t>
      </w:r>
      <w:r w:rsidRPr="006B1610">
        <w:rPr>
          <w:caps/>
          <w:sz w:val="24"/>
          <w:szCs w:val="24"/>
        </w:rPr>
        <w:t>Aprob</w:t>
      </w:r>
      <w:r w:rsidRPr="006B1610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B2278" w:rsidRPr="006B1610" w:rsidRDefault="002B2278" w:rsidP="002B2278">
      <w:pPr>
        <w:pStyle w:val="1"/>
        <w:rPr>
          <w:b w:val="0"/>
          <w:sz w:val="24"/>
          <w:szCs w:val="24"/>
        </w:rPr>
      </w:pPr>
      <w:r w:rsidRPr="006B1610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Şef </w:t>
      </w:r>
      <w:r w:rsidRPr="006B1610">
        <w:rPr>
          <w:b w:val="0"/>
          <w:sz w:val="24"/>
          <w:szCs w:val="24"/>
        </w:rPr>
        <w:t xml:space="preserve">Departament  Pediatrie                                                                                                                                                     </w:t>
      </w:r>
    </w:p>
    <w:p w:rsidR="002B2278" w:rsidRPr="006B1610" w:rsidRDefault="002B2278" w:rsidP="002B2278">
      <w:pPr>
        <w:pStyle w:val="1"/>
        <w:rPr>
          <w:b w:val="0"/>
          <w:sz w:val="24"/>
          <w:szCs w:val="24"/>
        </w:rPr>
      </w:pPr>
      <w:r w:rsidRPr="006B1610">
        <w:rPr>
          <w:b w:val="0"/>
          <w:sz w:val="24"/>
          <w:szCs w:val="24"/>
        </w:rPr>
        <w:t xml:space="preserve">                                                                   USMF „Nicolae Testemiţanu”</w:t>
      </w:r>
      <w:r>
        <w:rPr>
          <w:b w:val="0"/>
          <w:sz w:val="24"/>
          <w:szCs w:val="24"/>
        </w:rPr>
        <w:t>, dr.hab.şt.med.,</w:t>
      </w:r>
      <w:r w:rsidRPr="006B1610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B2278" w:rsidRPr="006B1610" w:rsidRDefault="002B2278" w:rsidP="002B2278">
      <w:pPr>
        <w:pStyle w:val="1"/>
        <w:rPr>
          <w:b w:val="0"/>
          <w:sz w:val="24"/>
          <w:szCs w:val="24"/>
          <w:lang w:val="en-US"/>
        </w:rPr>
      </w:pPr>
      <w:r w:rsidRPr="006B1610">
        <w:rPr>
          <w:b w:val="0"/>
          <w:sz w:val="24"/>
          <w:szCs w:val="24"/>
        </w:rPr>
        <w:t xml:space="preserve">                                                                     </w:t>
      </w:r>
      <w:r>
        <w:rPr>
          <w:b w:val="0"/>
          <w:sz w:val="24"/>
          <w:szCs w:val="24"/>
        </w:rPr>
        <w:t>p</w:t>
      </w:r>
      <w:r w:rsidRPr="006B1610">
        <w:rPr>
          <w:b w:val="0"/>
          <w:sz w:val="24"/>
          <w:szCs w:val="24"/>
        </w:rPr>
        <w:t>rofesor universitar  N</w:t>
      </w:r>
      <w:r>
        <w:rPr>
          <w:b w:val="0"/>
          <w:sz w:val="24"/>
          <w:szCs w:val="24"/>
        </w:rPr>
        <w:t xml:space="preserve">inel </w:t>
      </w:r>
      <w:r w:rsidRPr="006B1610">
        <w:rPr>
          <w:b w:val="0"/>
          <w:sz w:val="24"/>
          <w:szCs w:val="24"/>
        </w:rPr>
        <w:t>Revenco</w:t>
      </w:r>
      <w:r w:rsidRPr="006B1610"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2B2278" w:rsidRDefault="002B2278" w:rsidP="002B2278">
      <w:pPr>
        <w:pStyle w:val="1"/>
        <w:rPr>
          <w:b w:val="0"/>
          <w:sz w:val="24"/>
          <w:szCs w:val="24"/>
          <w:lang w:val="it-IT"/>
        </w:rPr>
      </w:pPr>
      <w:r w:rsidRPr="006B1610">
        <w:rPr>
          <w:b w:val="0"/>
          <w:sz w:val="24"/>
          <w:szCs w:val="24"/>
          <w:lang w:val="it-IT"/>
        </w:rPr>
        <w:t xml:space="preserve">                                                                     </w:t>
      </w:r>
      <w:r>
        <w:rPr>
          <w:b w:val="0"/>
          <w:sz w:val="24"/>
          <w:szCs w:val="24"/>
          <w:lang w:val="it-IT"/>
        </w:rPr>
        <w:t>15</w:t>
      </w:r>
      <w:r w:rsidRPr="006B1610">
        <w:rPr>
          <w:b w:val="0"/>
          <w:sz w:val="24"/>
          <w:szCs w:val="24"/>
          <w:lang w:val="it-IT"/>
        </w:rPr>
        <w:t>.</w:t>
      </w:r>
      <w:r>
        <w:rPr>
          <w:b w:val="0"/>
          <w:sz w:val="24"/>
          <w:szCs w:val="24"/>
          <w:lang w:val="it-IT"/>
        </w:rPr>
        <w:t>01</w:t>
      </w:r>
      <w:r w:rsidRPr="006B1610">
        <w:rPr>
          <w:b w:val="0"/>
          <w:sz w:val="24"/>
          <w:szCs w:val="24"/>
          <w:lang w:val="it-IT"/>
        </w:rPr>
        <w:t>.20</w:t>
      </w:r>
      <w:r>
        <w:rPr>
          <w:b w:val="0"/>
          <w:sz w:val="24"/>
          <w:szCs w:val="24"/>
          <w:lang w:val="it-IT"/>
        </w:rPr>
        <w:t xml:space="preserve">24 </w:t>
      </w:r>
      <w:r w:rsidRPr="006B1610">
        <w:rPr>
          <w:b w:val="0"/>
          <w:sz w:val="24"/>
          <w:szCs w:val="24"/>
          <w:lang w:val="it-IT"/>
        </w:rPr>
        <w:t xml:space="preserve"> _________________</w:t>
      </w:r>
    </w:p>
    <w:p w:rsidR="002B2278" w:rsidRDefault="002B2278" w:rsidP="002B227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>ORARUL prelegerilor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, lecțiilor practice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 xml:space="preserve"> studenţi anul 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III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programul Asistență medicală generală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 xml:space="preserve">, disciplina 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Sănătatea adolescentului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>, anul universitar 20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23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>-20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24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>,  grup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a AMG</w:t>
      </w:r>
      <w:r w:rsidR="008B165C">
        <w:rPr>
          <w:rFonts w:ascii="Times New Roman" w:hAnsi="Times New Roman"/>
          <w:b/>
          <w:iCs/>
          <w:sz w:val="24"/>
          <w:szCs w:val="24"/>
          <w:lang w:val="ro-RO"/>
        </w:rPr>
        <w:t xml:space="preserve"> 2101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, 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 xml:space="preserve">semestrul </w:t>
      </w:r>
      <w:r w:rsidR="008B165C">
        <w:rPr>
          <w:rFonts w:ascii="Times New Roman" w:hAnsi="Times New Roman"/>
          <w:b/>
          <w:iCs/>
          <w:sz w:val="24"/>
          <w:szCs w:val="24"/>
          <w:lang w:val="ro-RO"/>
        </w:rPr>
        <w:t>V</w:t>
      </w:r>
      <w:r w:rsidRPr="006B1610">
        <w:rPr>
          <w:rFonts w:ascii="Times New Roman" w:hAnsi="Times New Roman"/>
          <w:b/>
          <w:iCs/>
          <w:sz w:val="24"/>
          <w:szCs w:val="24"/>
          <w:lang w:val="ro-RO"/>
        </w:rPr>
        <w:t>.</w:t>
      </w:r>
    </w:p>
    <w:p w:rsidR="002B2278" w:rsidRDefault="002B2278" w:rsidP="002B227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</w:p>
    <w:tbl>
      <w:tblPr>
        <w:tblW w:w="104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607"/>
        <w:gridCol w:w="709"/>
        <w:gridCol w:w="709"/>
        <w:gridCol w:w="708"/>
        <w:gridCol w:w="1134"/>
      </w:tblGrid>
      <w:tr w:rsidR="008C2786" w:rsidRPr="002B2278" w:rsidTr="008C2786">
        <w:trPr>
          <w:trHeight w:val="2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8C2786" w:rsidRPr="002B2278" w:rsidRDefault="008C2786" w:rsidP="002B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66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ore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2786" w:rsidRPr="002B2278" w:rsidRDefault="008C2786" w:rsidP="002B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2786" w:rsidRPr="002B2278" w:rsidTr="008C278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2786" w:rsidRPr="002B2278" w:rsidRDefault="008C2786" w:rsidP="002B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66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2786" w:rsidRPr="002B2278" w:rsidRDefault="008C2786" w:rsidP="002B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ind w:left="-98" w:right="-12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ind w:left="-41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 individu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2786" w:rsidRPr="008C2786" w:rsidRDefault="008C2786" w:rsidP="002B2278">
            <w:pPr>
              <w:spacing w:after="0" w:line="240" w:lineRule="auto"/>
              <w:ind w:left="-41" w:right="-1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C27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</w:tr>
      <w:tr w:rsidR="008C2786" w:rsidRPr="002B2278" w:rsidTr="008C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pStyle w:val="FR3"/>
              <w:numPr>
                <w:ilvl w:val="0"/>
                <w:numId w:val="3"/>
              </w:numPr>
              <w:spacing w:before="0"/>
              <w:ind w:left="113" w:firstLine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86" w:rsidRPr="002B2278" w:rsidRDefault="008C2786" w:rsidP="002B22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bio-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psiho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adolescenţilor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neuro-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psihică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psiho-sexuală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pubertară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Pubertatea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precoce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tardivă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2B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C2786" w:rsidRDefault="008C2786" w:rsidP="008C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22.01.24,</w:t>
            </w:r>
          </w:p>
          <w:p w:rsidR="008C2786" w:rsidRPr="002B2278" w:rsidRDefault="008C2786" w:rsidP="008C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08.00</w:t>
            </w:r>
          </w:p>
        </w:tc>
      </w:tr>
      <w:tr w:rsidR="008C2786" w:rsidRPr="002B2278" w:rsidTr="008C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8C2786">
            <w:pPr>
              <w:pStyle w:val="FR3"/>
              <w:numPr>
                <w:ilvl w:val="0"/>
                <w:numId w:val="3"/>
              </w:numPr>
              <w:spacing w:before="0"/>
              <w:ind w:left="113" w:firstLine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86" w:rsidRPr="002B2278" w:rsidRDefault="008C2786" w:rsidP="008C27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Particularităţile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interacţiunii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proofErr w:type="gram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prestatorul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adolescent –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abordarea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integrată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adolescenţilor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Particularităţile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prestare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prietenoase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(SSPT). </w:t>
            </w: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Intervievarea și comunicarea cu adolescenții.</w:t>
            </w:r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 MEADS (HEAADSSS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193E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FD2E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8C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8C2786" w:rsidRDefault="008C2786" w:rsidP="008C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Pr="006F54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.01.24</w:t>
            </w:r>
          </w:p>
          <w:p w:rsidR="008C2786" w:rsidRDefault="008C2786" w:rsidP="008C27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08.00</w:t>
            </w:r>
          </w:p>
        </w:tc>
      </w:tr>
      <w:tr w:rsidR="008C2786" w:rsidRPr="002B2278" w:rsidTr="008C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8C2786">
            <w:pPr>
              <w:pStyle w:val="FR3"/>
              <w:numPr>
                <w:ilvl w:val="0"/>
                <w:numId w:val="3"/>
              </w:numPr>
              <w:spacing w:before="0"/>
              <w:ind w:left="113" w:firstLine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86" w:rsidRPr="002B2278" w:rsidRDefault="008C2786" w:rsidP="008C2786">
            <w:pPr>
              <w:tabs>
                <w:tab w:val="left" w:pos="4899"/>
                <w:tab w:val="left" w:pos="5109"/>
                <w:tab w:val="left" w:pos="65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Stariile tranzitorii şi dereglările funcţionale la adolescenţi.</w:t>
            </w:r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Identificarea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dereglărilor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nutriţie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Carenţa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micronutrienţi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Obezitatea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Devieri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comportamentul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alimentar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bulemia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anorexia)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193E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FD2E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8C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8C2786" w:rsidRDefault="008C2786" w:rsidP="008C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Pr="006F54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.01.24</w:t>
            </w:r>
          </w:p>
          <w:p w:rsidR="008C2786" w:rsidRDefault="008C2786" w:rsidP="008C27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08.00</w:t>
            </w:r>
          </w:p>
        </w:tc>
      </w:tr>
      <w:tr w:rsidR="008C2786" w:rsidRPr="002B2278" w:rsidTr="008C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8C2786">
            <w:pPr>
              <w:pStyle w:val="FR3"/>
              <w:numPr>
                <w:ilvl w:val="0"/>
                <w:numId w:val="3"/>
              </w:numPr>
              <w:spacing w:before="0"/>
              <w:ind w:left="113" w:firstLine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86" w:rsidRPr="002B2278" w:rsidRDefault="008C2786" w:rsidP="008C2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Identificarea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problemelor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sănătate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mentală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adicţii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violenta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Bullying </w:t>
            </w:r>
            <w:proofErr w:type="gram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violent</w:t>
            </w:r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,</w:t>
            </w:r>
            <w:proofErr w:type="gram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suicid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școală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Dificultăți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Tulburări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psihice</w:t>
            </w:r>
            <w:proofErr w:type="spellEnd"/>
            <w:r w:rsidRPr="002B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193E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FD2E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8C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8C2786" w:rsidRDefault="008C2786" w:rsidP="008C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6F54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.01.24</w:t>
            </w:r>
          </w:p>
          <w:p w:rsidR="008C2786" w:rsidRDefault="008C2786" w:rsidP="008C27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08.00</w:t>
            </w:r>
          </w:p>
        </w:tc>
      </w:tr>
      <w:tr w:rsidR="008C2786" w:rsidRPr="002B2278" w:rsidTr="008C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8C2786">
            <w:pPr>
              <w:pStyle w:val="FR3"/>
              <w:numPr>
                <w:ilvl w:val="0"/>
                <w:numId w:val="3"/>
              </w:numPr>
              <w:spacing w:before="0"/>
              <w:ind w:left="113" w:firstLine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86" w:rsidRPr="002B2278" w:rsidRDefault="008C2786" w:rsidP="008C27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Particularităţile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comportamentului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sexual la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Problemele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sănătăţii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sexual-reproductive la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(ITS/HIV,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sarcina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precoce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2B2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193E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2786" w:rsidRDefault="008C2786" w:rsidP="008C2786">
            <w:pPr>
              <w:jc w:val="center"/>
            </w:pPr>
            <w:r w:rsidRPr="00FD2E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8C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C2786" w:rsidRDefault="008C2786" w:rsidP="008C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Pr="006F54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.01.24</w:t>
            </w:r>
          </w:p>
          <w:p w:rsidR="008C2786" w:rsidRDefault="008C2786" w:rsidP="008C27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08.00</w:t>
            </w:r>
          </w:p>
        </w:tc>
      </w:tr>
      <w:tr w:rsidR="008C2786" w:rsidRPr="002B2278" w:rsidTr="008C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1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pStyle w:val="FR3"/>
              <w:spacing w:before="0"/>
              <w:ind w:left="79"/>
              <w:jc w:val="both"/>
              <w:rPr>
                <w:b/>
                <w:sz w:val="24"/>
                <w:szCs w:val="24"/>
                <w:lang w:val="ro-RO"/>
              </w:rPr>
            </w:pPr>
            <w:r w:rsidRPr="002B2278">
              <w:rPr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pStyle w:val="FR3"/>
              <w:spacing w:before="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7.5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786" w:rsidRPr="002B2278" w:rsidRDefault="008C2786" w:rsidP="002B2278">
            <w:pPr>
              <w:pStyle w:val="FR3"/>
              <w:spacing w:before="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17.5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786" w:rsidRPr="002B2278" w:rsidRDefault="008C2786" w:rsidP="002B2278">
            <w:pPr>
              <w:pStyle w:val="FR3"/>
              <w:spacing w:before="0"/>
              <w:ind w:left="79"/>
              <w:rPr>
                <w:b/>
                <w:sz w:val="24"/>
                <w:szCs w:val="24"/>
                <w:lang w:val="ro-RO"/>
              </w:rPr>
            </w:pPr>
            <w:r w:rsidRPr="002B2278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2786" w:rsidRPr="002B2278" w:rsidRDefault="008C2786" w:rsidP="002B2278">
            <w:pPr>
              <w:pStyle w:val="FR3"/>
              <w:spacing w:before="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2B2278" w:rsidRDefault="002B2278" w:rsidP="002B2278">
      <w:pPr>
        <w:pStyle w:val="a4"/>
        <w:spacing w:after="0"/>
        <w:ind w:left="0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2B2278" w:rsidRDefault="002B2278" w:rsidP="002B2278">
      <w:pPr>
        <w:pStyle w:val="a4"/>
        <w:spacing w:after="0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proofErr w:type="spellStart"/>
      <w:r w:rsidRPr="008353EA">
        <w:rPr>
          <w:rFonts w:ascii="Times New Roman" w:hAnsi="Times New Roman"/>
          <w:b/>
          <w:color w:val="C00000"/>
          <w:sz w:val="28"/>
          <w:szCs w:val="28"/>
          <w:lang w:val="en-US"/>
        </w:rPr>
        <w:t>Notă</w:t>
      </w:r>
      <w:proofErr w:type="spellEnd"/>
      <w:r w:rsidRPr="008353EA"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. </w:t>
      </w:r>
      <w:proofErr w:type="gramStart"/>
      <w:r w:rsidRPr="008353EA">
        <w:rPr>
          <w:rFonts w:ascii="Times New Roman" w:hAnsi="Times New Roman"/>
          <w:b/>
          <w:color w:val="C00000"/>
          <w:sz w:val="28"/>
          <w:szCs w:val="28"/>
          <w:lang w:val="en-US"/>
        </w:rPr>
        <w:t>Important !!!</w:t>
      </w:r>
      <w:proofErr w:type="gramEnd"/>
    </w:p>
    <w:p w:rsidR="002B2278" w:rsidRPr="00F7101B" w:rsidRDefault="008C2786" w:rsidP="00CE0BAA">
      <w:pPr>
        <w:numPr>
          <w:ilvl w:val="0"/>
          <w:numId w:val="2"/>
        </w:numPr>
        <w:spacing w:after="0"/>
        <w:ind w:right="-4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Studenții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2B2278" w:rsidRPr="00F7101B">
        <w:rPr>
          <w:rFonts w:ascii="Times New Roman" w:hAnsi="Times New Roman"/>
          <w:sz w:val="24"/>
          <w:szCs w:val="24"/>
          <w:lang w:val="en-US"/>
        </w:rPr>
        <w:t>Departamentul</w:t>
      </w:r>
      <w:proofErr w:type="spellEnd"/>
      <w:r w:rsidR="002B2278" w:rsidRPr="00F710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2278" w:rsidRPr="00F7101B">
        <w:rPr>
          <w:rFonts w:ascii="Times New Roman" w:hAnsi="Times New Roman"/>
          <w:sz w:val="24"/>
          <w:szCs w:val="24"/>
          <w:lang w:val="en-US"/>
        </w:rPr>
        <w:t>Pediatrie</w:t>
      </w:r>
      <w:proofErr w:type="spellEnd"/>
      <w:r w:rsidR="002B22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B2278">
        <w:rPr>
          <w:rFonts w:ascii="Times New Roman" w:hAnsi="Times New Roman"/>
          <w:sz w:val="24"/>
          <w:szCs w:val="24"/>
          <w:lang w:val="en-US"/>
        </w:rPr>
        <w:t>IMșiC</w:t>
      </w:r>
      <w:proofErr w:type="spellEnd"/>
      <w:r w:rsidR="002B2278">
        <w:rPr>
          <w:rFonts w:ascii="Times New Roman" w:hAnsi="Times New Roman"/>
          <w:sz w:val="24"/>
          <w:szCs w:val="24"/>
          <w:lang w:val="en-US"/>
        </w:rPr>
        <w:t xml:space="preserve">, str. </w:t>
      </w:r>
      <w:proofErr w:type="spellStart"/>
      <w:r w:rsidR="002B2278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urebista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93 conform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orarului</w:t>
      </w:r>
      <w:proofErr w:type="spellEnd"/>
      <w:r w:rsidR="002B2278">
        <w:rPr>
          <w:rFonts w:ascii="Times New Roman" w:hAnsi="Times New Roman"/>
          <w:sz w:val="24"/>
          <w:szCs w:val="24"/>
          <w:lang w:val="en-US"/>
        </w:rPr>
        <w:t>.</w:t>
      </w:r>
    </w:p>
    <w:p w:rsidR="008B165C" w:rsidRDefault="008C2786" w:rsidP="00CE0BAA">
      <w:pPr>
        <w:numPr>
          <w:ilvl w:val="0"/>
          <w:numId w:val="2"/>
        </w:numPr>
        <w:tabs>
          <w:tab w:val="num" w:pos="426"/>
        </w:tabs>
        <w:spacing w:after="0"/>
        <w:ind w:right="-46"/>
        <w:jc w:val="both"/>
        <w:rPr>
          <w:rFonts w:ascii="Times New Roman" w:hAnsi="Times New Roman"/>
          <w:sz w:val="24"/>
          <w:szCs w:val="24"/>
          <w:lang w:val="en-US"/>
        </w:rPr>
      </w:pPr>
      <w:r w:rsidRPr="00280313">
        <w:rPr>
          <w:rFonts w:ascii="Times New Roman" w:hAnsi="Times New Roman"/>
          <w:sz w:val="24"/>
          <w:szCs w:val="24"/>
          <w:lang w:val="ro-RO"/>
        </w:rPr>
        <w:t xml:space="preserve">Studentul se prezintă la ore practice: halat alb, încălţăminte de schimb, mască, dezinfectant pentru mâni, mănuși medicale, centimetru, stetoscop, tonometru, stilou-chaiet, materialul pregătit. Se respectă strict codul vestimentar al studentului. </w:t>
      </w:r>
    </w:p>
    <w:p w:rsidR="008C2786" w:rsidRPr="008B165C" w:rsidRDefault="008C2786" w:rsidP="00CE0BAA">
      <w:pPr>
        <w:numPr>
          <w:ilvl w:val="0"/>
          <w:numId w:val="2"/>
        </w:numPr>
        <w:tabs>
          <w:tab w:val="num" w:pos="426"/>
        </w:tabs>
        <w:spacing w:after="0"/>
        <w:ind w:right="-46"/>
        <w:jc w:val="both"/>
        <w:rPr>
          <w:rFonts w:ascii="Times New Roman" w:hAnsi="Times New Roman"/>
          <w:sz w:val="24"/>
          <w:szCs w:val="24"/>
          <w:lang w:val="en-US"/>
        </w:rPr>
      </w:pPr>
      <w:r w:rsidRPr="008B165C">
        <w:rPr>
          <w:rFonts w:ascii="Times New Roman" w:hAnsi="Times New Roman"/>
          <w:sz w:val="24"/>
          <w:szCs w:val="24"/>
          <w:lang w:val="ro-RO"/>
        </w:rPr>
        <w:t xml:space="preserve">La finele ciclului – examen complex. Examenul </w:t>
      </w:r>
      <w:r w:rsidRPr="008B165C"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Pediatrie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evaluarea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sumară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proba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orală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. La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evaluarea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finală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admişi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studenţii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cu media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anuală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sub nota 5,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studenţii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care nu au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recuperat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absenţele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lucrările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practice.</w:t>
      </w:r>
      <w:r w:rsidR="008B165C"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Proba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orală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efectuează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oferirea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fiecărui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student 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câte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bilet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examenare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conţine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subiecte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Proba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notează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cu note de la 10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la 0.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Subiectele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examene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întrebările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) se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aprobă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şedinţa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departamentului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aduc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cunoştinţa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studenţilor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puţin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lună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sesiune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B165C">
        <w:rPr>
          <w:rFonts w:ascii="Times New Roman" w:hAnsi="Times New Roman"/>
          <w:bCs/>
          <w:color w:val="000000"/>
          <w:sz w:val="24"/>
          <w:szCs w:val="24"/>
          <w:lang w:val="en-US"/>
        </w:rPr>
        <w:t>Nota</w:t>
      </w:r>
      <w:bookmarkStart w:id="0" w:name="_GoBack"/>
      <w:bookmarkEnd w:id="0"/>
      <w:r w:rsidRPr="008B165C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bCs/>
          <w:color w:val="000000"/>
          <w:sz w:val="24"/>
          <w:szCs w:val="24"/>
          <w:lang w:val="en-US"/>
        </w:rPr>
        <w:t>finală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alcătui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din nota 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medie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anuală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coeficientul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0.5), 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proba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orală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>coeficientul</w:t>
      </w:r>
      <w:proofErr w:type="spellEnd"/>
      <w:r w:rsidRPr="008B165C">
        <w:rPr>
          <w:rFonts w:ascii="Times New Roman" w:hAnsi="Times New Roman"/>
          <w:color w:val="000000"/>
          <w:sz w:val="24"/>
          <w:szCs w:val="24"/>
          <w:lang w:val="en-US"/>
        </w:rPr>
        <w:t xml:space="preserve"> 0.5).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Examenul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promovat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cu nota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minimă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5, </w:t>
      </w:r>
      <w:proofErr w:type="spellStart"/>
      <w:r w:rsidRPr="008B165C">
        <w:rPr>
          <w:rFonts w:ascii="Times New Roman" w:hAnsi="Times New Roman"/>
          <w:sz w:val="24"/>
          <w:szCs w:val="24"/>
          <w:lang w:val="en-US"/>
        </w:rPr>
        <w:t>maximă</w:t>
      </w:r>
      <w:proofErr w:type="spellEnd"/>
      <w:r w:rsidRPr="008B165C">
        <w:rPr>
          <w:rFonts w:ascii="Times New Roman" w:hAnsi="Times New Roman"/>
          <w:sz w:val="24"/>
          <w:szCs w:val="24"/>
          <w:lang w:val="en-US"/>
        </w:rPr>
        <w:t xml:space="preserve"> 10.</w:t>
      </w:r>
    </w:p>
    <w:p w:rsidR="008C2786" w:rsidRPr="00F46B83" w:rsidRDefault="008C2786" w:rsidP="00CE0BAA">
      <w:pPr>
        <w:numPr>
          <w:ilvl w:val="0"/>
          <w:numId w:val="2"/>
        </w:num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46B83">
        <w:rPr>
          <w:rFonts w:ascii="Times New Roman" w:hAnsi="Times New Roman"/>
          <w:sz w:val="24"/>
          <w:szCs w:val="24"/>
          <w:lang w:val="ro-RO"/>
        </w:rPr>
        <w:t xml:space="preserve">La examen sunt admişi studenţii  care au îndeplinit toate  compartimentele modulului. </w:t>
      </w:r>
    </w:p>
    <w:p w:rsidR="008C2786" w:rsidRPr="00F46B83" w:rsidRDefault="008C2786" w:rsidP="00CE0BAA">
      <w:pPr>
        <w:numPr>
          <w:ilvl w:val="0"/>
          <w:numId w:val="2"/>
        </w:num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46B83">
        <w:rPr>
          <w:rFonts w:ascii="Times New Roman" w:hAnsi="Times New Roman"/>
          <w:sz w:val="24"/>
          <w:szCs w:val="24"/>
          <w:lang w:val="ro-RO"/>
        </w:rPr>
        <w:t xml:space="preserve">Informaţie suplimentară (orare, recuperare restanţe, </w:t>
      </w:r>
      <w:proofErr w:type="spellStart"/>
      <w:r w:rsidRPr="00F46B83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F46B83">
        <w:rPr>
          <w:rFonts w:ascii="Times New Roman" w:hAnsi="Times New Roman"/>
          <w:sz w:val="24"/>
          <w:szCs w:val="24"/>
          <w:lang w:val="en-US"/>
        </w:rPr>
        <w:t xml:space="preserve"> individual</w:t>
      </w:r>
      <w:r w:rsidRPr="00F46B83">
        <w:rPr>
          <w:rFonts w:ascii="Times New Roman" w:hAnsi="Times New Roman"/>
          <w:sz w:val="24"/>
          <w:szCs w:val="24"/>
          <w:lang w:val="ro-RO"/>
        </w:rPr>
        <w:t>ă a studentului, tezele prelegerilor, teste, lista competenţe practice, întrebări examene, cercul ştiinţific studenţesc etc.) pe pagina WEB a Departamentului Pediatrie</w:t>
      </w:r>
      <w:r>
        <w:rPr>
          <w:rFonts w:ascii="Times New Roman" w:hAnsi="Times New Roman"/>
          <w:sz w:val="24"/>
          <w:szCs w:val="24"/>
          <w:lang w:val="ro-RO"/>
        </w:rPr>
        <w:t>, SIMU</w:t>
      </w:r>
      <w:r w:rsidRPr="00F46B8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2B2278" w:rsidRPr="00F7101B" w:rsidRDefault="002B2278" w:rsidP="00CE0BAA">
      <w:pPr>
        <w:spacing w:after="0"/>
        <w:ind w:left="720" w:right="-46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2B2278" w:rsidRPr="00DD141E" w:rsidRDefault="002B2278" w:rsidP="002B2278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D141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Șef studii, conferențiar                           P. Martalog</w:t>
      </w:r>
    </w:p>
    <w:p w:rsidR="002B2278" w:rsidRDefault="002B2278" w:rsidP="002B22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sectPr w:rsidR="002B2278" w:rsidSect="008C278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1CF5"/>
    <w:multiLevelType w:val="hybridMultilevel"/>
    <w:tmpl w:val="C01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56860E6C"/>
    <w:multiLevelType w:val="hybridMultilevel"/>
    <w:tmpl w:val="B47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DF5"/>
    <w:multiLevelType w:val="hybridMultilevel"/>
    <w:tmpl w:val="860E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40"/>
    <w:rsid w:val="002B2278"/>
    <w:rsid w:val="008B165C"/>
    <w:rsid w:val="008C2786"/>
    <w:rsid w:val="009C4240"/>
    <w:rsid w:val="00AC0884"/>
    <w:rsid w:val="00C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1666-455A-46CA-87B2-64C031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B22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2278"/>
    <w:rPr>
      <w:rFonts w:ascii="Times New Roman" w:eastAsia="Times New Roman" w:hAnsi="Times New Roman" w:cs="Times New Roman"/>
      <w:b/>
      <w:sz w:val="28"/>
      <w:szCs w:val="20"/>
      <w:lang w:val="ro-RO" w:eastAsia="x-none"/>
    </w:rPr>
  </w:style>
  <w:style w:type="paragraph" w:styleId="a4">
    <w:name w:val="Body Text Indent"/>
    <w:basedOn w:val="a"/>
    <w:link w:val="a5"/>
    <w:rsid w:val="002B2278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B2278"/>
    <w:rPr>
      <w:rFonts w:ascii="Calibri" w:eastAsia="Times New Roman" w:hAnsi="Calibri" w:cs="Times New Roman"/>
      <w:lang w:val="x-none" w:eastAsia="x-none"/>
    </w:rPr>
  </w:style>
  <w:style w:type="paragraph" w:styleId="a6">
    <w:name w:val="No Spacing"/>
    <w:uiPriority w:val="1"/>
    <w:qFormat/>
    <w:rsid w:val="002B2278"/>
    <w:pPr>
      <w:spacing w:after="0" w:line="240" w:lineRule="auto"/>
    </w:pPr>
    <w:rPr>
      <w:lang w:val="en-US"/>
    </w:rPr>
  </w:style>
  <w:style w:type="paragraph" w:customStyle="1" w:styleId="FR3">
    <w:name w:val="FR3"/>
    <w:rsid w:val="002B2278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2024-01-21T05:55:00Z</dcterms:created>
  <dcterms:modified xsi:type="dcterms:W3CDTF">2024-01-21T06:29:00Z</dcterms:modified>
</cp:coreProperties>
</file>